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8" w:type="dxa"/>
        <w:tblInd w:w="-176" w:type="dxa"/>
        <w:tblLayout w:type="fixed"/>
        <w:tblLook w:val="0000" w:firstRow="0" w:lastRow="0" w:firstColumn="0" w:lastColumn="0" w:noHBand="0" w:noVBand="0"/>
      </w:tblPr>
      <w:tblGrid>
        <w:gridCol w:w="10808"/>
      </w:tblGrid>
      <w:tr w:rsidR="00600672" w:rsidRPr="00AC2F66" w14:paraId="43976226" w14:textId="77777777" w:rsidTr="00AC2F66">
        <w:trPr>
          <w:cantSplit/>
        </w:trPr>
        <w:tc>
          <w:tcPr>
            <w:tcW w:w="10808" w:type="dxa"/>
          </w:tcPr>
          <w:p w14:paraId="34C96F3B" w14:textId="206B2D30" w:rsidR="00600672" w:rsidRPr="00AC2F66" w:rsidRDefault="00750A4A" w:rsidP="00750A4A">
            <w:pPr>
              <w:spacing w:before="120"/>
              <w:rPr>
                <w:rFonts w:ascii="Times New Roman" w:hAnsi="Times New Roman" w:cs="Times New Roman"/>
                <w:b/>
                <w:bCs/>
              </w:rPr>
            </w:pPr>
            <w:r>
              <w:rPr>
                <w:rFonts w:ascii="Times New Roman" w:hAnsi="Times New Roman" w:cs="Times New Roman"/>
                <w:b/>
                <w:bCs/>
              </w:rPr>
              <w:t xml:space="preserve">                                                                   </w:t>
            </w:r>
            <w:r w:rsidR="00777639" w:rsidRPr="00AC2F66">
              <w:rPr>
                <w:rFonts w:ascii="Times New Roman" w:hAnsi="Times New Roman" w:cs="Times New Roman"/>
                <w:b/>
                <w:bCs/>
              </w:rPr>
              <w:t>ДОПОЛНЕНИЕ К</w:t>
            </w:r>
            <w:r w:rsidR="00600672" w:rsidRPr="00AC2F66">
              <w:rPr>
                <w:rFonts w:ascii="Times New Roman" w:hAnsi="Times New Roman" w:cs="Times New Roman"/>
                <w:b/>
                <w:bCs/>
              </w:rPr>
              <w:t xml:space="preserve"> ЗАЯВЛЕНИЮ</w:t>
            </w:r>
          </w:p>
          <w:p w14:paraId="2EBCF8E3" w14:textId="4296ED69" w:rsidR="00600672" w:rsidRPr="00AC2F66" w:rsidRDefault="00600672" w:rsidP="004F6349">
            <w:pPr>
              <w:jc w:val="center"/>
              <w:rPr>
                <w:rFonts w:ascii="Times New Roman" w:hAnsi="Times New Roman" w:cs="Times New Roman"/>
                <w:b/>
              </w:rPr>
            </w:pPr>
            <w:r w:rsidRPr="00AC2F66">
              <w:rPr>
                <w:rFonts w:ascii="Times New Roman" w:hAnsi="Times New Roman" w:cs="Times New Roman"/>
                <w:b/>
              </w:rPr>
              <w:t xml:space="preserve">о присоединении к Договору </w:t>
            </w:r>
            <w:r w:rsidR="00BA7E26" w:rsidRPr="00AC2F66">
              <w:rPr>
                <w:rFonts w:ascii="Times New Roman" w:hAnsi="Times New Roman" w:cs="Times New Roman"/>
                <w:b/>
              </w:rPr>
              <w:t>о</w:t>
            </w:r>
            <w:r w:rsidRPr="00AC2F66">
              <w:rPr>
                <w:rFonts w:ascii="Times New Roman" w:hAnsi="Times New Roman" w:cs="Times New Roman"/>
                <w:b/>
              </w:rPr>
              <w:t xml:space="preserve"> брокерско</w:t>
            </w:r>
            <w:r w:rsidR="00BA7E26" w:rsidRPr="00AC2F66">
              <w:rPr>
                <w:rFonts w:ascii="Times New Roman" w:hAnsi="Times New Roman" w:cs="Times New Roman"/>
                <w:b/>
              </w:rPr>
              <w:t>м</w:t>
            </w:r>
            <w:r w:rsidRPr="00AC2F66">
              <w:rPr>
                <w:rFonts w:ascii="Times New Roman" w:hAnsi="Times New Roman" w:cs="Times New Roman"/>
                <w:b/>
              </w:rPr>
              <w:t xml:space="preserve"> обслуживани</w:t>
            </w:r>
            <w:r w:rsidR="00BA7E26" w:rsidRPr="00AC2F66">
              <w:rPr>
                <w:rFonts w:ascii="Times New Roman" w:hAnsi="Times New Roman" w:cs="Times New Roman"/>
                <w:b/>
              </w:rPr>
              <w:t>и</w:t>
            </w:r>
          </w:p>
          <w:p w14:paraId="4E607FCF" w14:textId="33D5DF9A" w:rsidR="00600672" w:rsidRPr="00AC2F66" w:rsidRDefault="00600672" w:rsidP="004F6349">
            <w:pPr>
              <w:jc w:val="center"/>
              <w:rPr>
                <w:rFonts w:ascii="Times New Roman" w:hAnsi="Times New Roman" w:cs="Times New Roman"/>
                <w:b/>
                <w:i/>
                <w:iCs/>
              </w:rPr>
            </w:pPr>
            <w:r w:rsidRPr="00AC2F66">
              <w:rPr>
                <w:rFonts w:ascii="Times New Roman" w:hAnsi="Times New Roman" w:cs="Times New Roman"/>
                <w:b/>
                <w:i/>
                <w:iCs/>
              </w:rPr>
              <w:t>(для физических лиц)</w:t>
            </w:r>
          </w:p>
          <w:p w14:paraId="0EE8E7E0" w14:textId="5D40BECC" w:rsidR="00600672" w:rsidRPr="00AC2F66" w:rsidRDefault="00B546CA" w:rsidP="004A51A2">
            <w:pPr>
              <w:ind w:firstLine="498"/>
              <w:jc w:val="both"/>
              <w:rPr>
                <w:rFonts w:ascii="Times New Roman" w:hAnsi="Times New Roman" w:cs="Times New Roman"/>
              </w:rPr>
            </w:pPr>
            <w:r w:rsidRPr="00AC2F66">
              <w:rPr>
                <w:rFonts w:ascii="Times New Roman" w:hAnsi="Times New Roman" w:cs="Times New Roman"/>
              </w:rPr>
              <w:t>Уважаемый клиент, в целях упрощения восприятия и понимания финансовых услуг, оказываемых</w:t>
            </w:r>
            <w:r w:rsidR="00600672" w:rsidRPr="00AC2F66">
              <w:rPr>
                <w:rFonts w:ascii="Times New Roman" w:hAnsi="Times New Roman" w:cs="Times New Roman"/>
              </w:rPr>
              <w:t xml:space="preserve">, </w:t>
            </w:r>
            <w:r w:rsidR="00245F17" w:rsidRPr="00AC2F66">
              <w:rPr>
                <w:rFonts w:ascii="Times New Roman" w:hAnsi="Times New Roman" w:cs="Times New Roman"/>
              </w:rPr>
              <w:t>АО</w:t>
            </w:r>
            <w:r w:rsidR="00600672" w:rsidRPr="00AC2F66">
              <w:rPr>
                <w:rFonts w:ascii="Times New Roman" w:hAnsi="Times New Roman" w:cs="Times New Roman"/>
              </w:rPr>
              <w:t xml:space="preserve"> «ИК «</w:t>
            </w:r>
            <w:r w:rsidR="00245F17" w:rsidRPr="00AC2F66">
              <w:rPr>
                <w:rFonts w:ascii="Times New Roman" w:hAnsi="Times New Roman" w:cs="Times New Roman"/>
              </w:rPr>
              <w:t>Питер Траст</w:t>
            </w:r>
            <w:r w:rsidR="00600672" w:rsidRPr="00AC2F66">
              <w:rPr>
                <w:rFonts w:ascii="Times New Roman" w:hAnsi="Times New Roman" w:cs="Times New Roman"/>
              </w:rPr>
              <w:t xml:space="preserve">» </w:t>
            </w:r>
            <w:r w:rsidR="00682AE2" w:rsidRPr="00AC2F66">
              <w:rPr>
                <w:rFonts w:ascii="Times New Roman" w:hAnsi="Times New Roman" w:cs="Times New Roman"/>
              </w:rPr>
              <w:t xml:space="preserve">(далее – Брокер) </w:t>
            </w:r>
            <w:r w:rsidRPr="00AC2F66">
              <w:rPr>
                <w:rFonts w:ascii="Times New Roman" w:hAnsi="Times New Roman" w:cs="Times New Roman"/>
              </w:rPr>
              <w:t xml:space="preserve">в рамках заключенного Договора о брокерском обслуживании </w:t>
            </w:r>
            <w:r w:rsidR="00600672" w:rsidRPr="00AC2F66">
              <w:rPr>
                <w:rFonts w:ascii="Times New Roman" w:hAnsi="Times New Roman" w:cs="Times New Roman"/>
              </w:rPr>
              <w:t xml:space="preserve">предоставляет </w:t>
            </w:r>
            <w:r w:rsidRPr="00AC2F66">
              <w:rPr>
                <w:rFonts w:ascii="Times New Roman" w:hAnsi="Times New Roman" w:cs="Times New Roman"/>
              </w:rPr>
              <w:t>краткую информацию об услугах.</w:t>
            </w:r>
          </w:p>
          <w:p w14:paraId="21C756D6" w14:textId="5DDF96F7" w:rsidR="00B546CA" w:rsidRPr="00AC2F66" w:rsidRDefault="00B546CA" w:rsidP="004A51A2">
            <w:pPr>
              <w:ind w:firstLine="498"/>
              <w:jc w:val="both"/>
              <w:rPr>
                <w:rStyle w:val="ad"/>
                <w:rFonts w:ascii="Times New Roman" w:eastAsiaTheme="majorEastAsia" w:hAnsi="Times New Roman" w:cs="Times New Roman"/>
              </w:rPr>
            </w:pPr>
            <w:r w:rsidRPr="00AC2F66">
              <w:rPr>
                <w:rFonts w:ascii="Times New Roman" w:hAnsi="Times New Roman" w:cs="Times New Roman"/>
              </w:rPr>
              <w:t xml:space="preserve">С полной редакцией Регламента оказания брокерских услуг, который определяет условия Договора о брокерском обслуживании, можете ознакомиться на официальном сайте </w:t>
            </w:r>
            <w:hyperlink r:id="rId8" w:history="1">
              <w:r w:rsidRPr="00AC2F66">
                <w:rPr>
                  <w:rStyle w:val="ad"/>
                  <w:rFonts w:ascii="Times New Roman" w:eastAsiaTheme="majorEastAsia" w:hAnsi="Times New Roman" w:cs="Times New Roman"/>
                </w:rPr>
                <w:t>https://lk.piter-trust.ru/</w:t>
              </w:r>
            </w:hyperlink>
            <w:r w:rsidRPr="00AC2F66">
              <w:rPr>
                <w:rStyle w:val="ad"/>
                <w:rFonts w:ascii="Times New Roman" w:eastAsiaTheme="majorEastAsia" w:hAnsi="Times New Roman" w:cs="Times New Roman"/>
              </w:rPr>
              <w:t xml:space="preserve"> </w:t>
            </w:r>
            <w:r w:rsidRPr="00AC2F66">
              <w:rPr>
                <w:rStyle w:val="ad"/>
                <w:rFonts w:ascii="Times New Roman" w:eastAsiaTheme="majorEastAsia" w:hAnsi="Times New Roman" w:cs="Times New Roman"/>
                <w:color w:val="auto"/>
                <w:u w:val="none"/>
              </w:rPr>
              <w:t>или на бумажном носителе в офисе Брокера</w:t>
            </w:r>
            <w:r w:rsidRPr="00AC2F66">
              <w:rPr>
                <w:rStyle w:val="ad"/>
                <w:rFonts w:ascii="Times New Roman" w:eastAsiaTheme="majorEastAsia" w:hAnsi="Times New Roman" w:cs="Times New Roman"/>
              </w:rPr>
              <w:t>.</w:t>
            </w:r>
          </w:p>
          <w:p w14:paraId="386C4F1E" w14:textId="5F66664D" w:rsidR="00B546CA" w:rsidRPr="00AC2F66" w:rsidRDefault="00B546CA" w:rsidP="00BB6C02">
            <w:pPr>
              <w:tabs>
                <w:tab w:val="left" w:pos="993"/>
              </w:tabs>
              <w:spacing w:after="0" w:line="240" w:lineRule="auto"/>
              <w:jc w:val="both"/>
              <w:rPr>
                <w:rFonts w:ascii="Times New Roman" w:hAnsi="Times New Roman" w:cs="Times New Roman"/>
              </w:rPr>
            </w:pPr>
            <w:r w:rsidRPr="00AC2F66">
              <w:rPr>
                <w:rFonts w:ascii="Times New Roman" w:hAnsi="Times New Roman" w:cs="Times New Roman"/>
                <w:bCs/>
              </w:rPr>
              <w:t>Основные положения о брокерской деятельности определены в Федеральном Законе № 39-ФЗ «О рынке ценных бумаг».</w:t>
            </w:r>
            <w:r w:rsidRPr="00AC2F66">
              <w:rPr>
                <w:rFonts w:ascii="Times New Roman" w:hAnsi="Times New Roman" w:cs="Times New Roman"/>
                <w:bCs/>
                <w:color w:val="333333"/>
                <w:shd w:val="clear" w:color="auto" w:fill="FFFFFF"/>
              </w:rPr>
              <w:t xml:space="preserve"> </w:t>
            </w:r>
          </w:p>
          <w:p w14:paraId="25D80F85" w14:textId="77777777" w:rsidR="00B546CA" w:rsidRPr="00AC2F66" w:rsidRDefault="00B546CA" w:rsidP="00B546CA">
            <w:pPr>
              <w:tabs>
                <w:tab w:val="left" w:pos="993"/>
              </w:tabs>
              <w:spacing w:after="0" w:line="240" w:lineRule="auto"/>
              <w:jc w:val="both"/>
              <w:rPr>
                <w:rFonts w:ascii="Times New Roman" w:hAnsi="Times New Roman" w:cs="Times New Roman"/>
                <w:bCs/>
              </w:rPr>
            </w:pPr>
          </w:p>
          <w:tbl>
            <w:tblPr>
              <w:tblStyle w:val="af1"/>
              <w:tblW w:w="10702" w:type="dxa"/>
              <w:tblLayout w:type="fixed"/>
              <w:tblLook w:val="04A0" w:firstRow="1" w:lastRow="0" w:firstColumn="1" w:lastColumn="0" w:noHBand="0" w:noVBand="1"/>
            </w:tblPr>
            <w:tblGrid>
              <w:gridCol w:w="2055"/>
              <w:gridCol w:w="8647"/>
            </w:tblGrid>
            <w:tr w:rsidR="00BB6C02" w:rsidRPr="00AC2F66" w14:paraId="565F39B4" w14:textId="77777777" w:rsidTr="00AC2F66">
              <w:tc>
                <w:tcPr>
                  <w:tcW w:w="2055" w:type="dxa"/>
                </w:tcPr>
                <w:p w14:paraId="2C10BDB4" w14:textId="30FED1BA" w:rsidR="00BB6C02" w:rsidRPr="00AC2F66" w:rsidRDefault="00BB6C02" w:rsidP="004A51A2">
                  <w:pPr>
                    <w:jc w:val="both"/>
                    <w:rPr>
                      <w:rFonts w:ascii="Times New Roman" w:hAnsi="Times New Roman" w:cs="Times New Roman"/>
                      <w:b/>
                    </w:rPr>
                  </w:pPr>
                  <w:r>
                    <w:rPr>
                      <w:rFonts w:ascii="Times New Roman" w:hAnsi="Times New Roman" w:cs="Times New Roman"/>
                      <w:b/>
                    </w:rPr>
                    <w:t>Предмет брокерского договора</w:t>
                  </w:r>
                </w:p>
              </w:tc>
              <w:tc>
                <w:tcPr>
                  <w:tcW w:w="8647" w:type="dxa"/>
                </w:tcPr>
                <w:p w14:paraId="766F7C13" w14:textId="77777777" w:rsidR="00BB6C02" w:rsidRPr="00AC2F66" w:rsidRDefault="00BB6C02" w:rsidP="00BB6C02">
                  <w:pPr>
                    <w:tabs>
                      <w:tab w:val="left" w:pos="993"/>
                    </w:tabs>
                    <w:jc w:val="both"/>
                    <w:rPr>
                      <w:rFonts w:ascii="Times New Roman" w:hAnsi="Times New Roman" w:cs="Times New Roman"/>
                    </w:rPr>
                  </w:pPr>
                  <w:r w:rsidRPr="00AC2F66">
                    <w:rPr>
                      <w:rFonts w:ascii="Times New Roman" w:hAnsi="Times New Roman" w:cs="Times New Roman"/>
                      <w:bCs/>
                      <w:color w:val="333333"/>
                      <w:shd w:val="clear" w:color="auto" w:fill="FFFFFF"/>
                    </w:rPr>
                    <w:t xml:space="preserve">В предмет договора входит деятельность Брокера по совершению гражданско-правовых сделок с ценными бумагами по поручению клиента. Брокер </w:t>
                  </w:r>
                  <w:r w:rsidRPr="00AC2F66">
                    <w:rPr>
                      <w:rFonts w:ascii="Times New Roman" w:hAnsi="Times New Roman" w:cs="Times New Roman"/>
                    </w:rPr>
                    <w:t>принимает на себя обязательство за вознаграждение совершать по поручениям клиента юридические и иные действия, в том числе сделки с ценными бумагами и/или производными финансовыми инструментами и/или сделки по покупке продаже иностранной валюты на валютном рынке (конверсионные операции) и иные финансовые операции, связанные с осуществлением брокерской деятельности, от своего имени и за счет клиента либо от имени и за счет клиента.</w:t>
                  </w:r>
                </w:p>
                <w:p w14:paraId="194A6707" w14:textId="098EC051" w:rsidR="00BB6C02" w:rsidRPr="00AC2F66" w:rsidRDefault="00BB6C02" w:rsidP="00BB6C02">
                  <w:pPr>
                    <w:tabs>
                      <w:tab w:val="left" w:pos="993"/>
                    </w:tabs>
                    <w:jc w:val="both"/>
                    <w:rPr>
                      <w:rFonts w:ascii="Times New Roman" w:hAnsi="Times New Roman" w:cs="Times New Roman"/>
                    </w:rPr>
                  </w:pPr>
                  <w:r w:rsidRPr="00AC2F66">
                    <w:rPr>
                      <w:rFonts w:ascii="Times New Roman" w:hAnsi="Times New Roman" w:cs="Times New Roman"/>
                    </w:rPr>
                    <w:t xml:space="preserve">        Физические лица вправе заключать брокерский договор на ведение индивидуального инвестиционного счета (ИИС) п.12 Регламента.</w:t>
                  </w:r>
                </w:p>
              </w:tc>
            </w:tr>
            <w:tr w:rsidR="00B546CA" w:rsidRPr="00AC2F66" w14:paraId="28E4C1DB" w14:textId="77777777" w:rsidTr="00AC2F66">
              <w:tc>
                <w:tcPr>
                  <w:tcW w:w="2055" w:type="dxa"/>
                </w:tcPr>
                <w:p w14:paraId="43298484" w14:textId="3016EDF7" w:rsidR="00B546CA" w:rsidRPr="00AC2F66" w:rsidRDefault="00B546CA" w:rsidP="004A51A2">
                  <w:pPr>
                    <w:jc w:val="both"/>
                    <w:rPr>
                      <w:rFonts w:ascii="Times New Roman" w:hAnsi="Times New Roman" w:cs="Times New Roman"/>
                      <w:b/>
                    </w:rPr>
                  </w:pPr>
                  <w:r w:rsidRPr="00AC2F66">
                    <w:rPr>
                      <w:rFonts w:ascii="Times New Roman" w:hAnsi="Times New Roman" w:cs="Times New Roman"/>
                      <w:b/>
                    </w:rPr>
                    <w:t>Порядок и сроки расторжения договора</w:t>
                  </w:r>
                </w:p>
              </w:tc>
              <w:tc>
                <w:tcPr>
                  <w:tcW w:w="8647" w:type="dxa"/>
                </w:tcPr>
                <w:p w14:paraId="0963A34D" w14:textId="56A9CA5F" w:rsidR="00B546CA" w:rsidRPr="00AC2F66" w:rsidRDefault="00B546CA" w:rsidP="00B546CA">
                  <w:pPr>
                    <w:pStyle w:val="a8"/>
                    <w:tabs>
                      <w:tab w:val="left" w:pos="993"/>
                    </w:tabs>
                    <w:autoSpaceDE w:val="0"/>
                    <w:autoSpaceDN w:val="0"/>
                    <w:spacing w:after="0"/>
                    <w:jc w:val="both"/>
                    <w:rPr>
                      <w:rFonts w:ascii="Times New Roman" w:hAnsi="Times New Roman" w:cs="Times New Roman"/>
                    </w:rPr>
                  </w:pPr>
                  <w:r w:rsidRPr="00AC2F66">
                    <w:rPr>
                      <w:rFonts w:ascii="Times New Roman" w:hAnsi="Times New Roman" w:cs="Times New Roman"/>
                    </w:rPr>
                    <w:t xml:space="preserve">      Договор действует до заявления одной из сторон о его прекращении. Стороны по брокерскому договору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3C1EEC7F" w14:textId="1FCE132A" w:rsidR="00B546CA" w:rsidRPr="00AC2F66" w:rsidRDefault="00B546CA" w:rsidP="00B546CA">
                  <w:pPr>
                    <w:pStyle w:val="a8"/>
                    <w:tabs>
                      <w:tab w:val="left" w:pos="993"/>
                    </w:tabs>
                    <w:autoSpaceDE w:val="0"/>
                    <w:autoSpaceDN w:val="0"/>
                    <w:spacing w:after="0"/>
                    <w:jc w:val="both"/>
                    <w:rPr>
                      <w:rFonts w:ascii="Times New Roman" w:hAnsi="Times New Roman" w:cs="Times New Roman"/>
                    </w:rPr>
                  </w:pPr>
                  <w:r w:rsidRPr="00AC2F66">
                    <w:rPr>
                      <w:rFonts w:ascii="Times New Roman" w:hAnsi="Times New Roman" w:cs="Times New Roman"/>
                    </w:rPr>
                    <w:t xml:space="preserve">      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(Приложение 3.19 к Регламенту).</w:t>
                  </w:r>
                </w:p>
                <w:p w14:paraId="2ACD8143" w14:textId="3190EC82" w:rsidR="00B546CA" w:rsidRPr="00AC2F66" w:rsidRDefault="00B546CA" w:rsidP="004A51A2">
                  <w:pPr>
                    <w:jc w:val="both"/>
                    <w:rPr>
                      <w:rFonts w:ascii="Times New Roman" w:hAnsi="Times New Roman" w:cs="Times New Roman"/>
                      <w:b/>
                    </w:rPr>
                  </w:pPr>
                  <w:r w:rsidRPr="00AC2F66">
                    <w:rPr>
                      <w:rFonts w:ascii="Times New Roman" w:hAnsi="Times New Roman" w:cs="Times New Roman"/>
                    </w:rPr>
                    <w:t>С момента получения Брокером указанного заявления поручения на сделки от клиента не принимаются; принятые, но не исполненные поручения аннулируются. Работа по исполненным поручениям продолжается до завершения всех расчетов по сделкам и предоставления клиенту отчетности.</w:t>
                  </w:r>
                </w:p>
              </w:tc>
            </w:tr>
            <w:tr w:rsidR="00B546CA" w:rsidRPr="00AC2F66" w14:paraId="5829C379" w14:textId="77777777" w:rsidTr="00AC2F66">
              <w:tc>
                <w:tcPr>
                  <w:tcW w:w="2055" w:type="dxa"/>
                </w:tcPr>
                <w:p w14:paraId="6AEDB237" w14:textId="20640838" w:rsidR="00B546CA" w:rsidRPr="00E37766" w:rsidRDefault="00B546CA" w:rsidP="004A51A2">
                  <w:pPr>
                    <w:jc w:val="both"/>
                    <w:rPr>
                      <w:rFonts w:ascii="Times New Roman" w:hAnsi="Times New Roman" w:cs="Times New Roman"/>
                      <w:b/>
                      <w:bCs/>
                    </w:rPr>
                  </w:pPr>
                  <w:r w:rsidRPr="00AC2F66">
                    <w:rPr>
                      <w:rFonts w:ascii="Times New Roman" w:hAnsi="Times New Roman" w:cs="Times New Roman"/>
                      <w:b/>
                      <w:bCs/>
                    </w:rPr>
                    <w:t>Порядок урегулирования споров между сторонами брокерского договора</w:t>
                  </w:r>
                </w:p>
              </w:tc>
              <w:tc>
                <w:tcPr>
                  <w:tcW w:w="8647" w:type="dxa"/>
                </w:tcPr>
                <w:p w14:paraId="7D241061" w14:textId="1E29C9B6" w:rsidR="00B546CA" w:rsidRPr="00AC2F66" w:rsidRDefault="00B546CA" w:rsidP="00B546CA">
                  <w:pPr>
                    <w:pStyle w:val="a8"/>
                    <w:tabs>
                      <w:tab w:val="left" w:pos="993"/>
                    </w:tabs>
                    <w:autoSpaceDE w:val="0"/>
                    <w:autoSpaceDN w:val="0"/>
                    <w:spacing w:after="0"/>
                    <w:jc w:val="both"/>
                    <w:rPr>
                      <w:rFonts w:ascii="Times New Roman" w:hAnsi="Times New Roman" w:cs="Times New Roman"/>
                    </w:rPr>
                  </w:pPr>
                  <w:r w:rsidRPr="00AC2F66">
                    <w:rPr>
                      <w:rFonts w:ascii="Times New Roman" w:hAnsi="Times New Roman" w:cs="Times New Roman"/>
                    </w:rPr>
                    <w:t xml:space="preserve">     Все споры и разногласия между сторонами, возникающие при исполнении Договора, решаются путем переговоров с соблюдением порядка урегулирования споров, установленным Регламентом оказания брокерских услуг АО «ИК Питер Траст».</w:t>
                  </w:r>
                </w:p>
                <w:p w14:paraId="3BDAE902" w14:textId="389C0C1C" w:rsidR="00B546CA" w:rsidRPr="00E37766" w:rsidRDefault="00B546CA" w:rsidP="00E37766">
                  <w:pPr>
                    <w:pStyle w:val="a8"/>
                    <w:tabs>
                      <w:tab w:val="left" w:pos="238"/>
                      <w:tab w:val="left" w:pos="434"/>
                      <w:tab w:val="left" w:pos="784"/>
                    </w:tabs>
                    <w:spacing w:after="0" w:line="276" w:lineRule="auto"/>
                    <w:jc w:val="both"/>
                    <w:rPr>
                      <w:rFonts w:ascii="Times New Roman" w:hAnsi="Times New Roman" w:cs="Times New Roman"/>
                    </w:rPr>
                  </w:pPr>
                  <w:r w:rsidRPr="00AC2F66">
                    <w:rPr>
                      <w:rFonts w:ascii="Times New Roman" w:hAnsi="Times New Roman" w:cs="Times New Roman"/>
                    </w:rPr>
                    <w:t xml:space="preserve">    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области в соответствии с законодательством РФ.</w:t>
                  </w:r>
                </w:p>
              </w:tc>
            </w:tr>
            <w:tr w:rsidR="00B546CA" w:rsidRPr="00AC2F66" w14:paraId="6658A788" w14:textId="77777777" w:rsidTr="00AC2F66">
              <w:tc>
                <w:tcPr>
                  <w:tcW w:w="2055" w:type="dxa"/>
                </w:tcPr>
                <w:p w14:paraId="553CD950" w14:textId="7B3E4EDA" w:rsidR="00B546CA" w:rsidRPr="00E37766" w:rsidRDefault="00B546CA" w:rsidP="00E37766">
                  <w:pPr>
                    <w:pStyle w:val="a8"/>
                    <w:tabs>
                      <w:tab w:val="left" w:pos="993"/>
                    </w:tabs>
                    <w:autoSpaceDE w:val="0"/>
                    <w:autoSpaceDN w:val="0"/>
                    <w:spacing w:after="0"/>
                    <w:jc w:val="both"/>
                    <w:rPr>
                      <w:rFonts w:ascii="Times New Roman" w:hAnsi="Times New Roman" w:cs="Times New Roman"/>
                    </w:rPr>
                  </w:pPr>
                  <w:r w:rsidRPr="00AC2F66">
                    <w:rPr>
                      <w:rFonts w:ascii="Times New Roman" w:hAnsi="Times New Roman" w:cs="Times New Roman"/>
                      <w:b/>
                      <w:bCs/>
                    </w:rPr>
                    <w:t>Адреса для направления жалоб и обращений инвестора</w:t>
                  </w:r>
                  <w:r w:rsidRPr="00AC2F66">
                    <w:rPr>
                      <w:rFonts w:ascii="Times New Roman" w:hAnsi="Times New Roman" w:cs="Times New Roman"/>
                    </w:rPr>
                    <w:t xml:space="preserve"> </w:t>
                  </w:r>
                </w:p>
              </w:tc>
              <w:tc>
                <w:tcPr>
                  <w:tcW w:w="8647" w:type="dxa"/>
                </w:tcPr>
                <w:p w14:paraId="1A69C288" w14:textId="5EA1AB87" w:rsidR="00B546CA" w:rsidRPr="00E37766" w:rsidRDefault="00B546CA" w:rsidP="00E37766">
                  <w:pPr>
                    <w:pStyle w:val="a8"/>
                    <w:tabs>
                      <w:tab w:val="left" w:pos="993"/>
                    </w:tabs>
                    <w:autoSpaceDE w:val="0"/>
                    <w:autoSpaceDN w:val="0"/>
                    <w:spacing w:after="0"/>
                    <w:jc w:val="both"/>
                    <w:rPr>
                      <w:rFonts w:ascii="Times New Roman" w:hAnsi="Times New Roman" w:cs="Times New Roman"/>
                    </w:rPr>
                  </w:pPr>
                  <w:r w:rsidRPr="00AC2F66">
                    <w:rPr>
                      <w:rFonts w:ascii="Times New Roman" w:hAnsi="Times New Roman" w:cs="Times New Roman"/>
                    </w:rPr>
                    <w:t xml:space="preserve">    Клиент вправе направить обращения (жалобы) через личный кабинета, размещенного на главной странице официального сайта АО «ИК «Питер Траст» </w:t>
                  </w:r>
                  <w:hyperlink r:id="rId9" w:history="1">
                    <w:r w:rsidRPr="00AC2F66">
                      <w:rPr>
                        <w:rStyle w:val="ad"/>
                        <w:rFonts w:ascii="Times New Roman" w:eastAsiaTheme="majorEastAsia" w:hAnsi="Times New Roman" w:cs="Times New Roman"/>
                      </w:rPr>
                      <w:t>https://lk.piter-trust.ru/</w:t>
                    </w:r>
                  </w:hyperlink>
                  <w:r w:rsidRPr="00AC2F66">
                    <w:rPr>
                      <w:rStyle w:val="20"/>
                      <w:rFonts w:ascii="Times New Roman" w:hAnsi="Times New Roman" w:cs="Times New Roman"/>
                      <w:sz w:val="22"/>
                      <w:szCs w:val="22"/>
                    </w:rPr>
                    <w:t xml:space="preserve">, </w:t>
                  </w:r>
                  <w:r w:rsidRPr="00AC2F66">
                    <w:rPr>
                      <w:rStyle w:val="20"/>
                      <w:rFonts w:ascii="Times New Roman" w:hAnsi="Times New Roman" w:cs="Times New Roman"/>
                      <w:color w:val="auto"/>
                      <w:sz w:val="22"/>
                      <w:szCs w:val="22"/>
                    </w:rPr>
                    <w:t>либо по адресу:</w:t>
                  </w:r>
                  <w:r w:rsidRPr="00AC2F66">
                    <w:rPr>
                      <w:rFonts w:ascii="Times New Roman" w:hAnsi="Times New Roman" w:cs="Times New Roman"/>
                    </w:rPr>
                    <w:t xml:space="preserve"> 191186, г. Санкт-Петербург, наб. реки Мойки, д.11, лит. А, пом.21-Н Официальный сайт: https://www.lmsic.com Телефоны для связи:8 (812) 336-65-86</w:t>
                  </w:r>
                </w:p>
              </w:tc>
            </w:tr>
            <w:tr w:rsidR="00B546CA" w:rsidRPr="00AC2F66" w14:paraId="1EE1A8E0" w14:textId="77777777" w:rsidTr="00AC2F66">
              <w:tc>
                <w:tcPr>
                  <w:tcW w:w="2055" w:type="dxa"/>
                </w:tcPr>
                <w:p w14:paraId="721FFB39" w14:textId="526A3646" w:rsidR="00B546CA" w:rsidRPr="00AC2F66" w:rsidRDefault="00B546CA" w:rsidP="004A51A2">
                  <w:pPr>
                    <w:jc w:val="both"/>
                    <w:rPr>
                      <w:rFonts w:ascii="Times New Roman" w:hAnsi="Times New Roman" w:cs="Times New Roman"/>
                      <w:b/>
                      <w:bCs/>
                    </w:rPr>
                  </w:pPr>
                  <w:r w:rsidRPr="00AC2F66">
                    <w:rPr>
                      <w:rFonts w:ascii="Times New Roman" w:hAnsi="Times New Roman" w:cs="Times New Roman"/>
                      <w:b/>
                      <w:bCs/>
                    </w:rPr>
                    <w:t>Торговые системы</w:t>
                  </w:r>
                </w:p>
              </w:tc>
              <w:tc>
                <w:tcPr>
                  <w:tcW w:w="8647" w:type="dxa"/>
                </w:tcPr>
                <w:p w14:paraId="61911A39" w14:textId="77777777" w:rsidR="00B546CA" w:rsidRPr="00AC2F66" w:rsidRDefault="00B546CA" w:rsidP="00B546CA">
                  <w:pPr>
                    <w:pStyle w:val="a8"/>
                    <w:tabs>
                      <w:tab w:val="left" w:pos="993"/>
                    </w:tabs>
                    <w:autoSpaceDE w:val="0"/>
                    <w:autoSpaceDN w:val="0"/>
                    <w:spacing w:after="0"/>
                    <w:jc w:val="both"/>
                    <w:rPr>
                      <w:rFonts w:ascii="Times New Roman" w:hAnsi="Times New Roman" w:cs="Times New Roman"/>
                    </w:rPr>
                  </w:pPr>
                  <w:r w:rsidRPr="00AC2F66">
                    <w:rPr>
                      <w:rFonts w:ascii="Times New Roman" w:hAnsi="Times New Roman" w:cs="Times New Roman"/>
                    </w:rPr>
                    <w:t>Брокер заключает сделки в следующих торговых системах:</w:t>
                  </w:r>
                </w:p>
                <w:p w14:paraId="16A7D81F" w14:textId="77777777" w:rsidR="00B546CA" w:rsidRPr="00AC2F66" w:rsidRDefault="00B546CA" w:rsidP="00B546CA">
                  <w:pPr>
                    <w:pStyle w:val="a8"/>
                    <w:numPr>
                      <w:ilvl w:val="1"/>
                      <w:numId w:val="5"/>
                    </w:numPr>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фондовый рынок ПАО Московская биржа;</w:t>
                  </w:r>
                </w:p>
                <w:p w14:paraId="401AE7D1" w14:textId="77777777" w:rsidR="00B546CA" w:rsidRPr="00AC2F66" w:rsidRDefault="00B546CA" w:rsidP="00B546CA">
                  <w:pPr>
                    <w:pStyle w:val="a8"/>
                    <w:numPr>
                      <w:ilvl w:val="1"/>
                      <w:numId w:val="5"/>
                    </w:numPr>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валютный рынок ПАО Московская биржа (далее – валютный рынок);</w:t>
                  </w:r>
                </w:p>
                <w:p w14:paraId="633C0C7F" w14:textId="77777777" w:rsidR="00B546CA" w:rsidRPr="00AC2F66" w:rsidRDefault="00B546CA" w:rsidP="00B546CA">
                  <w:pPr>
                    <w:pStyle w:val="a8"/>
                    <w:numPr>
                      <w:ilvl w:val="1"/>
                      <w:numId w:val="5"/>
                    </w:numPr>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shd w:val="clear" w:color="auto" w:fill="FFFFFF"/>
                    </w:rPr>
                    <w:t>фондовый рынок ПАО «СПБ Биржа»;</w:t>
                  </w:r>
                </w:p>
                <w:p w14:paraId="769B3347" w14:textId="77777777" w:rsidR="00B546CA" w:rsidRPr="00AC2F66" w:rsidRDefault="00B546CA" w:rsidP="00B546CA">
                  <w:pPr>
                    <w:pStyle w:val="a8"/>
                    <w:numPr>
                      <w:ilvl w:val="1"/>
                      <w:numId w:val="5"/>
                    </w:numPr>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внебиржевой рынок.</w:t>
                  </w:r>
                </w:p>
                <w:p w14:paraId="3E390596" w14:textId="77777777" w:rsidR="00B546CA" w:rsidRPr="00AC2F66" w:rsidRDefault="00B546CA" w:rsidP="00B546CA">
                  <w:pPr>
                    <w:pStyle w:val="a8"/>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 xml:space="preserve">      Брокер осуществляет исполнение сделок, заключенных по поручениям клиентов (производит урегулирование сделок) и совершает, в связи с этим необходимые расчеты и иные юридические действия.</w:t>
                  </w:r>
                </w:p>
                <w:p w14:paraId="4FF5AC59" w14:textId="08EB195F" w:rsidR="00B546CA" w:rsidRPr="00AC2F66" w:rsidRDefault="00B546CA" w:rsidP="00B546CA">
                  <w:pPr>
                    <w:pStyle w:val="a8"/>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 xml:space="preserve"> Особенности торговых процедур, выполняемых Брокером при совершении сделок в различных ТС, определяются Правилами этих ТС.</w:t>
                  </w:r>
                </w:p>
              </w:tc>
            </w:tr>
            <w:tr w:rsidR="00B546CA" w:rsidRPr="00AC2F66" w14:paraId="263E2F8A" w14:textId="77777777" w:rsidTr="00AC2F66">
              <w:tc>
                <w:tcPr>
                  <w:tcW w:w="2055" w:type="dxa"/>
                </w:tcPr>
                <w:p w14:paraId="52186B59" w14:textId="12793491" w:rsidR="00B546CA" w:rsidRPr="00AC2F66" w:rsidRDefault="00B546CA" w:rsidP="004A51A2">
                  <w:pPr>
                    <w:jc w:val="both"/>
                    <w:rPr>
                      <w:rFonts w:ascii="Times New Roman" w:hAnsi="Times New Roman" w:cs="Times New Roman"/>
                      <w:b/>
                      <w:bCs/>
                    </w:rPr>
                  </w:pPr>
                  <w:r w:rsidRPr="00AC2F66">
                    <w:rPr>
                      <w:rFonts w:ascii="Times New Roman" w:hAnsi="Times New Roman" w:cs="Times New Roman"/>
                      <w:b/>
                      <w:bCs/>
                    </w:rPr>
                    <w:lastRenderedPageBreak/>
                    <w:t>Способ подачи поручения</w:t>
                  </w:r>
                </w:p>
              </w:tc>
              <w:tc>
                <w:tcPr>
                  <w:tcW w:w="8647" w:type="dxa"/>
                </w:tcPr>
                <w:p w14:paraId="62B1E769" w14:textId="77777777" w:rsidR="00B546CA" w:rsidRPr="00AC2F66" w:rsidRDefault="00B546CA" w:rsidP="00B546CA">
                  <w:pPr>
                    <w:pStyle w:val="a8"/>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Поручения принимаются:</w:t>
                  </w:r>
                </w:p>
                <w:p w14:paraId="60E6557A" w14:textId="74140310" w:rsidR="00B546CA" w:rsidRPr="00AC2F66" w:rsidRDefault="00B546CA" w:rsidP="00B546CA">
                  <w:pPr>
                    <w:pStyle w:val="a8"/>
                    <w:numPr>
                      <w:ilvl w:val="1"/>
                      <w:numId w:val="5"/>
                    </w:numPr>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 xml:space="preserve">в письменной форме; </w:t>
                  </w:r>
                </w:p>
                <w:p w14:paraId="32136539" w14:textId="77777777" w:rsidR="00B546CA" w:rsidRPr="00AC2F66" w:rsidRDefault="00B546CA" w:rsidP="00B546CA">
                  <w:pPr>
                    <w:pStyle w:val="a8"/>
                    <w:numPr>
                      <w:ilvl w:val="1"/>
                      <w:numId w:val="5"/>
                    </w:numPr>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 xml:space="preserve">через личный кабинет на сайте Компании; </w:t>
                  </w:r>
                </w:p>
                <w:p w14:paraId="5FDB1DD3" w14:textId="2AC61951" w:rsidR="00B546CA" w:rsidRPr="00AC2F66" w:rsidRDefault="00B546CA" w:rsidP="00B546CA">
                  <w:pPr>
                    <w:pStyle w:val="a8"/>
                    <w:numPr>
                      <w:ilvl w:val="1"/>
                      <w:numId w:val="5"/>
                    </w:numPr>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 xml:space="preserve">по телефону; </w:t>
                  </w:r>
                </w:p>
                <w:p w14:paraId="0DDB043C" w14:textId="39DFF587" w:rsidR="00B546CA" w:rsidRPr="00AC2F66" w:rsidRDefault="00B546CA" w:rsidP="00B546CA">
                  <w:pPr>
                    <w:pStyle w:val="a8"/>
                    <w:numPr>
                      <w:ilvl w:val="1"/>
                      <w:numId w:val="5"/>
                    </w:numPr>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по системе Интернет-трейдинг.</w:t>
                  </w:r>
                </w:p>
              </w:tc>
            </w:tr>
            <w:tr w:rsidR="00B546CA" w:rsidRPr="00AC2F66" w14:paraId="0C8905F3" w14:textId="77777777" w:rsidTr="00AC2F66">
              <w:tc>
                <w:tcPr>
                  <w:tcW w:w="2055" w:type="dxa"/>
                </w:tcPr>
                <w:p w14:paraId="6192A041" w14:textId="1F12A901" w:rsidR="00B546CA" w:rsidRPr="00AC2F66" w:rsidRDefault="00B546CA" w:rsidP="004A51A2">
                  <w:pPr>
                    <w:jc w:val="both"/>
                    <w:rPr>
                      <w:rFonts w:ascii="Times New Roman" w:hAnsi="Times New Roman" w:cs="Times New Roman"/>
                      <w:b/>
                      <w:bCs/>
                    </w:rPr>
                  </w:pPr>
                  <w:r w:rsidRPr="00AC2F66">
                    <w:rPr>
                      <w:rFonts w:ascii="Times New Roman" w:hAnsi="Times New Roman" w:cs="Times New Roman"/>
                      <w:b/>
                      <w:bCs/>
                    </w:rPr>
                    <w:t>Срок приема и исполнения поручения</w:t>
                  </w:r>
                </w:p>
              </w:tc>
              <w:tc>
                <w:tcPr>
                  <w:tcW w:w="8647" w:type="dxa"/>
                </w:tcPr>
                <w:p w14:paraId="5ED7D2A6" w14:textId="77777777" w:rsidR="00B546CA" w:rsidRPr="00AC2F66" w:rsidRDefault="00B546CA" w:rsidP="00B546CA">
                  <w:pPr>
                    <w:pStyle w:val="a8"/>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Поручения на операции с денежными средствами.</w:t>
                  </w:r>
                </w:p>
                <w:p w14:paraId="5BD495A2" w14:textId="26B7C7F2" w:rsidR="00B546CA" w:rsidRPr="00AC2F66" w:rsidRDefault="00B546CA" w:rsidP="00B546CA">
                  <w:pPr>
                    <w:pStyle w:val="a8"/>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Поручения на операции с денежными средствами принимаются Брокером в рабочие дни с 10.00 до 17.45 по московскому времени и исполняются не позднее рабочего дня, следующего за днем получения поручения. Поручения на торговые операции.</w:t>
                  </w:r>
                </w:p>
                <w:p w14:paraId="711B1E7A" w14:textId="260B11B2" w:rsidR="00B546CA" w:rsidRPr="00AC2F66" w:rsidRDefault="00B546CA" w:rsidP="00B546CA">
                  <w:pPr>
                    <w:pStyle w:val="a8"/>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Поручения на биржевые торговые операции принимаются Брокером в течение основной торговой сессии ТС в режиме работы Брокера, но не позднее чем за 10 минут до ее окончания, за исключением поручений на сделки, поданных по системе Интернет-трейдинг. Поручения на биржевые торговые операции действуют до окончания торговой сессии в ТС. Более подробные особенности приема и исполнения поручений указаны в разделе 4.4 и 5.2 Регламента оказания брокерских услуг.</w:t>
                  </w:r>
                </w:p>
                <w:p w14:paraId="511ACF21" w14:textId="349DF851" w:rsidR="00B546CA" w:rsidRPr="00AC2F66" w:rsidRDefault="00B546CA" w:rsidP="00B546CA">
                  <w:pPr>
                    <w:pStyle w:val="a8"/>
                    <w:tabs>
                      <w:tab w:val="left" w:pos="851"/>
                    </w:tabs>
                    <w:autoSpaceDE w:val="0"/>
                    <w:autoSpaceDN w:val="0"/>
                    <w:spacing w:after="0"/>
                    <w:jc w:val="both"/>
                    <w:rPr>
                      <w:rFonts w:ascii="Times New Roman" w:hAnsi="Times New Roman" w:cs="Times New Roman"/>
                    </w:rPr>
                  </w:pPr>
                  <w:r w:rsidRPr="00AC2F66">
                    <w:rPr>
                      <w:rFonts w:ascii="Times New Roman" w:hAnsi="Times New Roman" w:cs="Times New Roman"/>
                    </w:rPr>
                    <w:t>Поручения на совершение сделок на внебиржевом рынке принимаются Брокером в рабочие дни в режиме работы Брокера и действуют в течение времени, указанного в поручении.</w:t>
                  </w:r>
                </w:p>
              </w:tc>
            </w:tr>
            <w:tr w:rsidR="00B546CA" w:rsidRPr="00AC2F66" w14:paraId="0405A4FA" w14:textId="77777777" w:rsidTr="00AC2F66">
              <w:tc>
                <w:tcPr>
                  <w:tcW w:w="2055" w:type="dxa"/>
                </w:tcPr>
                <w:p w14:paraId="07665EFD" w14:textId="28896257" w:rsidR="00B546CA" w:rsidRPr="00AC2F66" w:rsidRDefault="00B546CA" w:rsidP="004A51A2">
                  <w:pPr>
                    <w:jc w:val="both"/>
                    <w:rPr>
                      <w:rFonts w:ascii="Times New Roman" w:hAnsi="Times New Roman" w:cs="Times New Roman"/>
                      <w:b/>
                      <w:bCs/>
                    </w:rPr>
                  </w:pPr>
                  <w:r w:rsidRPr="00AC2F66">
                    <w:rPr>
                      <w:rFonts w:ascii="Times New Roman" w:hAnsi="Times New Roman" w:cs="Times New Roman"/>
                      <w:b/>
                      <w:bCs/>
                    </w:rPr>
                    <w:t>Сведения о тарифах на брокерское обслуживание и о выбранном тарифе</w:t>
                  </w:r>
                </w:p>
              </w:tc>
              <w:tc>
                <w:tcPr>
                  <w:tcW w:w="8647" w:type="dxa"/>
                </w:tcPr>
                <w:p w14:paraId="24A7710A" w14:textId="3830F503" w:rsidR="00B546CA" w:rsidRPr="00AC2F66" w:rsidRDefault="00B546CA" w:rsidP="00B546CA">
                  <w:pPr>
                    <w:pStyle w:val="Normal1"/>
                    <w:tabs>
                      <w:tab w:val="left" w:pos="993"/>
                    </w:tabs>
                    <w:ind w:left="0"/>
                    <w:jc w:val="both"/>
                    <w:rPr>
                      <w:rFonts w:eastAsia="TimesNewRoman"/>
                      <w:sz w:val="22"/>
                      <w:szCs w:val="22"/>
                      <w:lang w:eastAsia="en-US"/>
                    </w:rPr>
                  </w:pPr>
                  <w:r w:rsidRPr="00AC2F66">
                    <w:rPr>
                      <w:rFonts w:eastAsia="TimesNewRoman"/>
                      <w:sz w:val="22"/>
                      <w:szCs w:val="22"/>
                      <w:lang w:eastAsia="en-US"/>
                    </w:rPr>
                    <w:t xml:space="preserve">     Размер действующих тарифов Брокера на услуги определяется в соответствии с Регламентом. Тарифы на брокерское обслуживание АО «ИК «Питер Траст» размещаются в свободном доступе в сети «Интернет» на официальном сайте Брокера по адресу: </w:t>
                  </w:r>
                  <w:hyperlink r:id="rId10" w:history="1">
                    <w:r w:rsidRPr="00AC2F66">
                      <w:rPr>
                        <w:rStyle w:val="ad"/>
                        <w:rFonts w:eastAsiaTheme="majorEastAsia"/>
                        <w:sz w:val="22"/>
                        <w:szCs w:val="22"/>
                      </w:rPr>
                      <w:t>https://lk.piter-trust.ru/</w:t>
                    </w:r>
                  </w:hyperlink>
                </w:p>
                <w:p w14:paraId="7D56BFB6" w14:textId="7E530119" w:rsidR="00B546CA" w:rsidRPr="00AC2F66" w:rsidRDefault="00B546CA" w:rsidP="00B546CA">
                  <w:pPr>
                    <w:pStyle w:val="Normal1"/>
                    <w:tabs>
                      <w:tab w:val="left" w:pos="993"/>
                    </w:tabs>
                    <w:ind w:left="0"/>
                    <w:jc w:val="both"/>
                    <w:rPr>
                      <w:sz w:val="22"/>
                      <w:szCs w:val="22"/>
                    </w:rPr>
                  </w:pPr>
                  <w:r w:rsidRPr="00AC2F66">
                    <w:rPr>
                      <w:sz w:val="22"/>
                      <w:szCs w:val="22"/>
                    </w:rPr>
                    <w:t xml:space="preserve">    Брокер взимает с Клиента вознаграждение за оказанные услуги, предусмотренные Договором в соответствии с Тарифами Брокера, действующими на момент фактического предоставления услуг. </w:t>
                  </w:r>
                </w:p>
              </w:tc>
            </w:tr>
            <w:tr w:rsidR="00B546CA" w:rsidRPr="00AC2F66" w14:paraId="670B91BF" w14:textId="77777777" w:rsidTr="00AC2F66">
              <w:tc>
                <w:tcPr>
                  <w:tcW w:w="2055" w:type="dxa"/>
                </w:tcPr>
                <w:p w14:paraId="3AB28E62" w14:textId="31570E23" w:rsidR="00B546CA" w:rsidRPr="00AC2F66" w:rsidRDefault="00B546CA" w:rsidP="004A51A2">
                  <w:pPr>
                    <w:jc w:val="both"/>
                    <w:rPr>
                      <w:rFonts w:ascii="Times New Roman" w:hAnsi="Times New Roman" w:cs="Times New Roman"/>
                      <w:b/>
                      <w:bCs/>
                    </w:rPr>
                  </w:pPr>
                  <w:r w:rsidRPr="00AC2F66">
                    <w:rPr>
                      <w:rFonts w:ascii="Times New Roman" w:hAnsi="Times New Roman" w:cs="Times New Roman"/>
                      <w:b/>
                      <w:bCs/>
                    </w:rPr>
                    <w:t>Квалифицированные инвесторы</w:t>
                  </w:r>
                </w:p>
              </w:tc>
              <w:tc>
                <w:tcPr>
                  <w:tcW w:w="8647" w:type="dxa"/>
                </w:tcPr>
                <w:p w14:paraId="6F0D29DA" w14:textId="78D0B41E" w:rsidR="00B546CA" w:rsidRPr="00AC2F66" w:rsidRDefault="00B546CA" w:rsidP="004A51A2">
                  <w:pPr>
                    <w:jc w:val="both"/>
                    <w:rPr>
                      <w:rFonts w:ascii="Times New Roman" w:hAnsi="Times New Roman" w:cs="Times New Roman"/>
                      <w:b/>
                    </w:rPr>
                  </w:pPr>
                  <w:r w:rsidRPr="00AC2F66">
                    <w:rPr>
                      <w:rFonts w:ascii="Times New Roman" w:hAnsi="Times New Roman" w:cs="Times New Roman"/>
                    </w:rPr>
                    <w:t>Клиент вправе приобретать ценные бумаги, предназначенные для квалифицированных инвесторов, только если он является квалифицированным инвестором. Клиент вправе получить статус квалифицированного инвестора в соответствии с Регламентом признания лиц квалифицированными инвесторами в АО «Инвестиционная компания «Питер Траст».</w:t>
                  </w:r>
                </w:p>
              </w:tc>
            </w:tr>
            <w:tr w:rsidR="00B546CA" w:rsidRPr="00AC2F66" w14:paraId="57ECCB22" w14:textId="77777777" w:rsidTr="00AC2F66">
              <w:tc>
                <w:tcPr>
                  <w:tcW w:w="2055" w:type="dxa"/>
                </w:tcPr>
                <w:p w14:paraId="41E32879" w14:textId="100366CB" w:rsidR="00B546CA" w:rsidRPr="00AC2F66" w:rsidRDefault="00B546CA" w:rsidP="004A51A2">
                  <w:pPr>
                    <w:jc w:val="both"/>
                    <w:rPr>
                      <w:rFonts w:ascii="Times New Roman" w:hAnsi="Times New Roman" w:cs="Times New Roman"/>
                      <w:b/>
                      <w:bCs/>
                    </w:rPr>
                  </w:pPr>
                  <w:r w:rsidRPr="00AC2F66">
                    <w:rPr>
                      <w:rFonts w:ascii="Times New Roman" w:hAnsi="Times New Roman" w:cs="Times New Roman"/>
                      <w:b/>
                      <w:bCs/>
                    </w:rPr>
                    <w:t>Особенности исполнения поручения клиента - физического лица, не являющегося квалифицированным инвестором</w:t>
                  </w:r>
                </w:p>
              </w:tc>
              <w:tc>
                <w:tcPr>
                  <w:tcW w:w="8647" w:type="dxa"/>
                </w:tcPr>
                <w:p w14:paraId="61F812EE" w14:textId="01F29A2B" w:rsidR="00B546CA" w:rsidRPr="00AC2F66" w:rsidRDefault="00B546CA" w:rsidP="00B546CA">
                  <w:pPr>
                    <w:pStyle w:val="a8"/>
                    <w:tabs>
                      <w:tab w:val="left" w:pos="993"/>
                    </w:tabs>
                    <w:spacing w:after="0"/>
                    <w:jc w:val="both"/>
                    <w:rPr>
                      <w:rFonts w:ascii="Times New Roman" w:hAnsi="Times New Roman" w:cs="Times New Roman"/>
                      <w:lang w:eastAsia="ru-RU"/>
                    </w:rPr>
                  </w:pPr>
                  <w:r w:rsidRPr="00AC2F66">
                    <w:rPr>
                      <w:rFonts w:ascii="Times New Roman" w:hAnsi="Times New Roman" w:cs="Times New Roman"/>
                    </w:rPr>
                    <w:t xml:space="preserve">      По требованию Банка России для доступа к высокорисковым ценным бумагам и операциям клиенту, не являющемуся квалифицированным инвестором, необходимо пройти обязательное тестирование. </w:t>
                  </w:r>
                  <w:r w:rsidRPr="00AC2F66">
                    <w:rPr>
                      <w:rFonts w:ascii="Times New Roman" w:hAnsi="Times New Roman" w:cs="Times New Roman"/>
                      <w:color w:val="000000"/>
                      <w:shd w:val="clear" w:color="auto" w:fill="FFFFFF"/>
                    </w:rPr>
                    <w:t>Брокер проводит тестирование, а также оценивает результат тестирования до исполнения поручения клиента - физического лица, не являющегося квалифицированным инвестором, на совершение (заключение) сделок (договоров), требующих проведения тестирования.</w:t>
                  </w:r>
                </w:p>
                <w:p w14:paraId="42948CDD" w14:textId="2B1A9159" w:rsidR="00B546CA" w:rsidRPr="00AC2F66" w:rsidRDefault="00B546CA" w:rsidP="00B546CA">
                  <w:pPr>
                    <w:pStyle w:val="a8"/>
                    <w:tabs>
                      <w:tab w:val="left" w:pos="993"/>
                    </w:tabs>
                    <w:spacing w:after="0"/>
                    <w:jc w:val="both"/>
                    <w:rPr>
                      <w:rFonts w:ascii="Times New Roman" w:hAnsi="Times New Roman" w:cs="Times New Roman"/>
                      <w:lang w:eastAsia="ru-RU"/>
                    </w:rPr>
                  </w:pPr>
                  <w:r w:rsidRPr="00AC2F66">
                    <w:rPr>
                      <w:rFonts w:ascii="Times New Roman" w:hAnsi="Times New Roman" w:cs="Times New Roman"/>
                      <w:color w:val="333333"/>
                      <w:shd w:val="clear" w:color="auto" w:fill="FFFFFF"/>
                    </w:rPr>
                    <w:t xml:space="preserve">      Брокер исполняет поручение, только при наличии положительного результата тестирования, проведенного в соответствии с Регламентом оказания брокерских услуг.</w:t>
                  </w:r>
                </w:p>
              </w:tc>
            </w:tr>
            <w:tr w:rsidR="00B546CA" w:rsidRPr="00AC2F66" w14:paraId="5E20C7E4" w14:textId="77777777" w:rsidTr="00AC2F66">
              <w:tc>
                <w:tcPr>
                  <w:tcW w:w="2055" w:type="dxa"/>
                </w:tcPr>
                <w:p w14:paraId="3239B0D1" w14:textId="5F2788D0" w:rsidR="00B546CA" w:rsidRPr="00AC2F66" w:rsidRDefault="00B546CA" w:rsidP="004A51A2">
                  <w:pPr>
                    <w:jc w:val="both"/>
                    <w:rPr>
                      <w:rFonts w:ascii="Times New Roman" w:hAnsi="Times New Roman" w:cs="Times New Roman"/>
                      <w:b/>
                      <w:bCs/>
                    </w:rPr>
                  </w:pPr>
                  <w:r w:rsidRPr="00AC2F66">
                    <w:rPr>
                      <w:rFonts w:ascii="Times New Roman" w:hAnsi="Times New Roman" w:cs="Times New Roman"/>
                      <w:b/>
                      <w:bCs/>
                    </w:rPr>
                    <w:t>Специальные брокерские счета, право использования денежных средств инвестора</w:t>
                  </w:r>
                </w:p>
              </w:tc>
              <w:tc>
                <w:tcPr>
                  <w:tcW w:w="8647" w:type="dxa"/>
                </w:tcPr>
                <w:p w14:paraId="6A41171E" w14:textId="2BDD668D" w:rsidR="00B546CA" w:rsidRPr="00AC2F66" w:rsidRDefault="00B546CA" w:rsidP="004A51A2">
                  <w:pPr>
                    <w:jc w:val="both"/>
                    <w:rPr>
                      <w:rFonts w:ascii="Times New Roman" w:hAnsi="Times New Roman" w:cs="Times New Roman"/>
                      <w:b/>
                    </w:rPr>
                  </w:pPr>
                  <w:r w:rsidRPr="00AC2F66">
                    <w:rPr>
                      <w:rFonts w:ascii="Times New Roman" w:hAnsi="Times New Roman" w:cs="Times New Roman"/>
                    </w:rPr>
                    <w:t>Денежные средства клиента, передаваемые Брокеру по договору, учитываются на специальных брокерских счетах, открытых Брокером в кредитных организациях для учета денежных средств клиентов, вместе со средствами других клиентов Брокера. Брокер вправе использовать в своих интересах денежные средства клиента, гарантируя клиенту исполнение его поручений за счет указанных денежных средств либо их возврат по требованию клиента. Клиент вправе отказаться от использования общего специального брокерского счета путем представления заявления об отказе и открытии отдельного специального брокерского счета.</w:t>
                  </w:r>
                </w:p>
              </w:tc>
            </w:tr>
            <w:tr w:rsidR="00B546CA" w:rsidRPr="00AC2F66" w14:paraId="3133ACD6" w14:textId="77777777" w:rsidTr="00AC2F66">
              <w:tc>
                <w:tcPr>
                  <w:tcW w:w="2055" w:type="dxa"/>
                </w:tcPr>
                <w:p w14:paraId="2AA1688C" w14:textId="44FA475B" w:rsidR="00B546CA" w:rsidRPr="00BB6C02" w:rsidRDefault="00BB6C02" w:rsidP="004A51A2">
                  <w:pPr>
                    <w:jc w:val="both"/>
                    <w:rPr>
                      <w:rFonts w:ascii="Times New Roman" w:hAnsi="Times New Roman" w:cs="Times New Roman"/>
                      <w:b/>
                      <w:bCs/>
                      <w:sz w:val="20"/>
                      <w:szCs w:val="20"/>
                    </w:rPr>
                  </w:pPr>
                  <w:r w:rsidRPr="00BB6C02">
                    <w:rPr>
                      <w:rFonts w:ascii="Times New Roman" w:hAnsi="Times New Roman" w:cs="Times New Roman"/>
                      <w:b/>
                      <w:bCs/>
                      <w:color w:val="000000"/>
                      <w:sz w:val="20"/>
                      <w:szCs w:val="20"/>
                    </w:rPr>
                    <w:t>Порядок действий Брокера при недостаточности активов на счете клиента</w:t>
                  </w:r>
                </w:p>
              </w:tc>
              <w:tc>
                <w:tcPr>
                  <w:tcW w:w="8647" w:type="dxa"/>
                </w:tcPr>
                <w:p w14:paraId="0D3479DC" w14:textId="4488B9C5" w:rsidR="00B546CA" w:rsidRPr="00AC2F66" w:rsidRDefault="00B546CA" w:rsidP="004A51A2">
                  <w:pPr>
                    <w:jc w:val="both"/>
                    <w:rPr>
                      <w:rFonts w:ascii="Times New Roman" w:hAnsi="Times New Roman" w:cs="Times New Roman"/>
                      <w:b/>
                    </w:rPr>
                  </w:pPr>
                  <w:r w:rsidRPr="00AC2F66">
                    <w:rPr>
                      <w:rFonts w:ascii="Times New Roman" w:hAnsi="Times New Roman" w:cs="Times New Roman"/>
                    </w:rPr>
                    <w:t>При недостаточности активов на счете клиента Брокер не предоставляет клиентам в заем средства, а также не исполняет поручения клиента на сделки, в результате которых возникает непокрытая позиция.</w:t>
                  </w:r>
                </w:p>
              </w:tc>
            </w:tr>
            <w:tr w:rsidR="00B546CA" w:rsidRPr="00AC2F66" w14:paraId="4F9E47A0" w14:textId="77777777" w:rsidTr="00AC2F66">
              <w:tc>
                <w:tcPr>
                  <w:tcW w:w="2055" w:type="dxa"/>
                </w:tcPr>
                <w:p w14:paraId="29C89261" w14:textId="193C66F6" w:rsidR="00B546CA" w:rsidRPr="00AC2F66" w:rsidRDefault="00B546CA" w:rsidP="004A51A2">
                  <w:pPr>
                    <w:jc w:val="both"/>
                    <w:rPr>
                      <w:rFonts w:ascii="Times New Roman" w:hAnsi="Times New Roman" w:cs="Times New Roman"/>
                      <w:b/>
                    </w:rPr>
                  </w:pPr>
                  <w:r w:rsidRPr="00AC2F66">
                    <w:rPr>
                      <w:rFonts w:ascii="Times New Roman" w:hAnsi="Times New Roman" w:cs="Times New Roman"/>
                      <w:b/>
                    </w:rPr>
                    <w:t>Риски</w:t>
                  </w:r>
                </w:p>
              </w:tc>
              <w:tc>
                <w:tcPr>
                  <w:tcW w:w="8647" w:type="dxa"/>
                </w:tcPr>
                <w:p w14:paraId="0EA44957" w14:textId="11B30CF0" w:rsidR="00B546CA" w:rsidRPr="00AC2F66" w:rsidRDefault="00AC2F66" w:rsidP="00AC2F66">
                  <w:pPr>
                    <w:pStyle w:val="a8"/>
                    <w:spacing w:after="0"/>
                    <w:jc w:val="both"/>
                    <w:rPr>
                      <w:rFonts w:ascii="Times New Roman" w:hAnsi="Times New Roman" w:cs="Times New Roman"/>
                    </w:rPr>
                  </w:pPr>
                  <w:r w:rsidRPr="00AC2F66">
                    <w:rPr>
                      <w:rFonts w:ascii="Times New Roman" w:hAnsi="Times New Roman" w:cs="Times New Roman"/>
                    </w:rPr>
                    <w:t>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Клиент понимает и принимает на себя возможные риски, включая, но, не ограничиваясь, риски финансовых потерь.</w:t>
                  </w:r>
                </w:p>
              </w:tc>
            </w:tr>
            <w:tr w:rsidR="00B546CA" w:rsidRPr="00AC2F66" w14:paraId="5CA15E68" w14:textId="77777777" w:rsidTr="00AC2F66">
              <w:tc>
                <w:tcPr>
                  <w:tcW w:w="2055" w:type="dxa"/>
                </w:tcPr>
                <w:p w14:paraId="04393D14" w14:textId="73C20528" w:rsidR="00B546CA" w:rsidRPr="00AC2F66" w:rsidRDefault="00B546CA" w:rsidP="004A51A2">
                  <w:pPr>
                    <w:jc w:val="both"/>
                    <w:rPr>
                      <w:rFonts w:ascii="Times New Roman" w:hAnsi="Times New Roman" w:cs="Times New Roman"/>
                      <w:b/>
                      <w:bCs/>
                    </w:rPr>
                  </w:pPr>
                  <w:r w:rsidRPr="00AC2F66">
                    <w:rPr>
                      <w:rFonts w:ascii="Times New Roman" w:hAnsi="Times New Roman" w:cs="Times New Roman"/>
                      <w:b/>
                      <w:bCs/>
                    </w:rPr>
                    <w:t>Отчетность. Сроки предоставления</w:t>
                  </w:r>
                </w:p>
              </w:tc>
              <w:tc>
                <w:tcPr>
                  <w:tcW w:w="8647" w:type="dxa"/>
                </w:tcPr>
                <w:p w14:paraId="22E8EB8E" w14:textId="4633AD4B" w:rsidR="00B546CA" w:rsidRPr="00AC2F66" w:rsidRDefault="00AC2F66" w:rsidP="004A51A2">
                  <w:pPr>
                    <w:jc w:val="both"/>
                    <w:rPr>
                      <w:rFonts w:ascii="Times New Roman" w:hAnsi="Times New Roman" w:cs="Times New Roman"/>
                      <w:b/>
                      <w:bCs/>
                      <w:color w:val="333333"/>
                      <w:shd w:val="clear" w:color="auto" w:fill="FFFFFF"/>
                    </w:rPr>
                  </w:pPr>
                  <w:r w:rsidRPr="00AC2F66">
                    <w:rPr>
                      <w:rFonts w:ascii="Times New Roman" w:hAnsi="Times New Roman" w:cs="Times New Roman"/>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r w:rsidR="00B546CA" w:rsidRPr="00AC2F66">
                    <w:rPr>
                      <w:rFonts w:ascii="Times New Roman" w:hAnsi="Times New Roman" w:cs="Times New Roman"/>
                    </w:rPr>
                    <w:t xml:space="preserve">Отчеты направляются посредством электронного документооборота через личный кабинет клиента и/или на адрес электронной почты клиента в течение </w:t>
                  </w:r>
                  <w:r w:rsidRPr="00AC2F66">
                    <w:rPr>
                      <w:rFonts w:ascii="Times New Roman" w:hAnsi="Times New Roman" w:cs="Times New Roman"/>
                    </w:rPr>
                    <w:t>7</w:t>
                  </w:r>
                  <w:r w:rsidR="00B546CA" w:rsidRPr="00AC2F66">
                    <w:rPr>
                      <w:rFonts w:ascii="Times New Roman" w:hAnsi="Times New Roman" w:cs="Times New Roman"/>
                    </w:rPr>
                    <w:t xml:space="preserve"> (</w:t>
                  </w:r>
                  <w:r w:rsidRPr="00AC2F66">
                    <w:rPr>
                      <w:rFonts w:ascii="Times New Roman" w:hAnsi="Times New Roman" w:cs="Times New Roman"/>
                    </w:rPr>
                    <w:t>семи)</w:t>
                  </w:r>
                  <w:r w:rsidR="00B546CA" w:rsidRPr="00AC2F66">
                    <w:rPr>
                      <w:rFonts w:ascii="Times New Roman" w:hAnsi="Times New Roman" w:cs="Times New Roman"/>
                    </w:rPr>
                    <w:t xml:space="preserve"> рабочих дней месяца (квартала), следующих за отчетным. Отчетный период - календарный месяц (квартал), по состоянию на последний день месяца (квартала). Клиент обязан </w:t>
                  </w:r>
                  <w:r w:rsidR="00B546CA" w:rsidRPr="00AC2F66">
                    <w:rPr>
                      <w:rFonts w:ascii="Times New Roman" w:hAnsi="Times New Roman" w:cs="Times New Roman"/>
                    </w:rPr>
                    <w:lastRenderedPageBreak/>
                    <w:t>ознакомиться с отчетами и приложениями к нему не позднее 5 (пяти) дней с даты их поступления. Отчет считается принятым и одобренным клиентом, если в течение 5 (пят</w:t>
                  </w:r>
                  <w:r w:rsidRPr="00AC2F66">
                    <w:rPr>
                      <w:rFonts w:ascii="Times New Roman" w:hAnsi="Times New Roman" w:cs="Times New Roman"/>
                    </w:rPr>
                    <w:t>и</w:t>
                  </w:r>
                  <w:r w:rsidR="00B546CA" w:rsidRPr="00AC2F66">
                    <w:rPr>
                      <w:rFonts w:ascii="Times New Roman" w:hAnsi="Times New Roman" w:cs="Times New Roman"/>
                    </w:rPr>
                    <w:t>) рабочих дней месяца, следующего за отчетным, Компания не получает от клиента аргументированные возражения по отчету.</w:t>
                  </w:r>
                </w:p>
              </w:tc>
            </w:tr>
            <w:tr w:rsidR="00B546CA" w:rsidRPr="00AC2F66" w14:paraId="4AEB3E77" w14:textId="77777777" w:rsidTr="00AC2F66">
              <w:tc>
                <w:tcPr>
                  <w:tcW w:w="2055" w:type="dxa"/>
                </w:tcPr>
                <w:p w14:paraId="6E2AA9AC" w14:textId="08755188" w:rsidR="00B546CA" w:rsidRPr="00AC2F66" w:rsidRDefault="00B546CA" w:rsidP="004A51A2">
                  <w:pPr>
                    <w:jc w:val="both"/>
                    <w:rPr>
                      <w:rFonts w:ascii="Times New Roman" w:hAnsi="Times New Roman" w:cs="Times New Roman"/>
                      <w:b/>
                      <w:bCs/>
                    </w:rPr>
                  </w:pPr>
                  <w:r w:rsidRPr="00AC2F66">
                    <w:rPr>
                      <w:rFonts w:ascii="Times New Roman" w:hAnsi="Times New Roman" w:cs="Times New Roman"/>
                      <w:b/>
                      <w:bCs/>
                    </w:rPr>
                    <w:lastRenderedPageBreak/>
                    <w:t>Обстоятельства непреодолимой силы</w:t>
                  </w:r>
                </w:p>
              </w:tc>
              <w:tc>
                <w:tcPr>
                  <w:tcW w:w="8647" w:type="dxa"/>
                </w:tcPr>
                <w:p w14:paraId="2CFAFFAE" w14:textId="77777777" w:rsidR="00AC2F66" w:rsidRPr="00AC2F66" w:rsidRDefault="00B546CA" w:rsidP="004A51A2">
                  <w:pPr>
                    <w:jc w:val="both"/>
                    <w:rPr>
                      <w:rFonts w:ascii="Times New Roman" w:hAnsi="Times New Roman" w:cs="Times New Roman"/>
                    </w:rPr>
                  </w:pPr>
                  <w:r w:rsidRPr="00AC2F66">
                    <w:rPr>
                      <w:rFonts w:ascii="Times New Roman" w:hAnsi="Times New Roman" w:cs="Times New Roman"/>
                    </w:rPr>
                    <w:t xml:space="preserve">Стороны договора освобождаются от ответственности за частичное или полное неисполнение обязательств, предусмотренных договором, если оно явилось следствием обстоятельств непреодолимой силы, возникших после подписания договора, в результате событий чрезвычайного характера, которые они не могли ни предвидеть, ни предотвратить разумными мерами. К обстоятельствам непреодолимой силы относятся такие события, как: </w:t>
                  </w:r>
                </w:p>
                <w:p w14:paraId="1D493055" w14:textId="42C18827" w:rsidR="00AC2F66" w:rsidRPr="00AC2F66" w:rsidRDefault="00B546CA" w:rsidP="00AC2F66">
                  <w:pPr>
                    <w:pStyle w:val="a7"/>
                    <w:numPr>
                      <w:ilvl w:val="0"/>
                      <w:numId w:val="27"/>
                    </w:numPr>
                    <w:ind w:left="357" w:hanging="357"/>
                    <w:jc w:val="both"/>
                    <w:rPr>
                      <w:rFonts w:ascii="Times New Roman" w:hAnsi="Times New Roman" w:cs="Times New Roman"/>
                    </w:rPr>
                  </w:pPr>
                  <w:r w:rsidRPr="00AC2F66">
                    <w:rPr>
                      <w:rFonts w:ascii="Times New Roman" w:hAnsi="Times New Roman" w:cs="Times New Roman"/>
                    </w:rPr>
                    <w:t xml:space="preserve">война, восстание, бунты, гражданские или военные конфликты, акты саботажа, забастовки, локаут, пожар, ущерб, причиненный наводнением или иными стихийными бедствиями, аварии и несчастные случаи, взрывы, механические повреждения, срыв работы компьютерных систем, оборудования, отказ или плохое функционирование средств связи третьих лиц, прекращение подачи электроэнергии и </w:t>
                  </w:r>
                  <w:proofErr w:type="gramStart"/>
                  <w:r w:rsidRPr="00AC2F66">
                    <w:rPr>
                      <w:rFonts w:ascii="Times New Roman" w:hAnsi="Times New Roman" w:cs="Times New Roman"/>
                    </w:rPr>
                    <w:t>т.п.</w:t>
                  </w:r>
                  <w:proofErr w:type="gramEnd"/>
                  <w:r w:rsidRPr="00AC2F66">
                    <w:rPr>
                      <w:rFonts w:ascii="Times New Roman" w:hAnsi="Times New Roman" w:cs="Times New Roman"/>
                    </w:rPr>
                    <w:t xml:space="preserve">; </w:t>
                  </w:r>
                </w:p>
                <w:p w14:paraId="75BC1129" w14:textId="7AA27044" w:rsidR="00B546CA" w:rsidRPr="00AC2F66" w:rsidRDefault="00B546CA" w:rsidP="00AC2F66">
                  <w:pPr>
                    <w:pStyle w:val="a7"/>
                    <w:numPr>
                      <w:ilvl w:val="0"/>
                      <w:numId w:val="27"/>
                    </w:numPr>
                    <w:ind w:left="357" w:hanging="357"/>
                    <w:jc w:val="both"/>
                    <w:rPr>
                      <w:rFonts w:ascii="Times New Roman" w:hAnsi="Times New Roman" w:cs="Times New Roman"/>
                      <w:b/>
                      <w:bCs/>
                      <w:color w:val="333333"/>
                      <w:shd w:val="clear" w:color="auto" w:fill="FFFFFF"/>
                    </w:rPr>
                  </w:pPr>
                  <w:r w:rsidRPr="00AC2F66">
                    <w:rPr>
                      <w:rFonts w:ascii="Times New Roman" w:hAnsi="Times New Roman" w:cs="Times New Roman"/>
                    </w:rPr>
                    <w:t xml:space="preserve">вступившие в силу законы и подзаконные акты, судебные разбирательства и судебные решения, определения, постановления, указы и распоряжения, нормы, приказы или любые другие действия и бездействия, как </w:t>
                  </w:r>
                  <w:r w:rsidR="00AC2F66" w:rsidRPr="00AC2F66">
                    <w:rPr>
                      <w:rFonts w:ascii="Times New Roman" w:hAnsi="Times New Roman" w:cs="Times New Roman"/>
                    </w:rPr>
                    <w:t>законные,</w:t>
                  </w:r>
                  <w:r w:rsidRPr="00AC2F66">
                    <w:rPr>
                      <w:rFonts w:ascii="Times New Roman" w:hAnsi="Times New Roman" w:cs="Times New Roman"/>
                    </w:rPr>
                    <w:t xml:space="preserve"> так и незаконные органов государственной власти, которые делают невозможными хотя бы для одной из сторон продолжать исполнение своих обязательств по договору на брокерское обслуживание.</w:t>
                  </w:r>
                </w:p>
              </w:tc>
            </w:tr>
            <w:tr w:rsidR="00B546CA" w:rsidRPr="00AC2F66" w14:paraId="1D77B008" w14:textId="77777777" w:rsidTr="00AC2F66">
              <w:tc>
                <w:tcPr>
                  <w:tcW w:w="2055" w:type="dxa"/>
                </w:tcPr>
                <w:p w14:paraId="09B0B2DC" w14:textId="5CFE1C63" w:rsidR="00B546CA" w:rsidRPr="00AC2F66" w:rsidRDefault="00B546CA" w:rsidP="004A51A2">
                  <w:pPr>
                    <w:jc w:val="both"/>
                    <w:rPr>
                      <w:rFonts w:ascii="Times New Roman" w:hAnsi="Times New Roman" w:cs="Times New Roman"/>
                      <w:b/>
                      <w:bCs/>
                    </w:rPr>
                  </w:pPr>
                  <w:r w:rsidRPr="00AC2F66">
                    <w:rPr>
                      <w:rFonts w:ascii="Times New Roman" w:hAnsi="Times New Roman" w:cs="Times New Roman"/>
                      <w:b/>
                      <w:bCs/>
                    </w:rPr>
                    <w:t>Налогообложение</w:t>
                  </w:r>
                </w:p>
              </w:tc>
              <w:tc>
                <w:tcPr>
                  <w:tcW w:w="8647" w:type="dxa"/>
                </w:tcPr>
                <w:p w14:paraId="2DAA8947" w14:textId="77777777" w:rsidR="00AC2F66" w:rsidRPr="00AC2F66" w:rsidRDefault="00AC2F66" w:rsidP="00AC2F66">
                  <w:pPr>
                    <w:jc w:val="both"/>
                    <w:rPr>
                      <w:rFonts w:ascii="Times New Roman" w:hAnsi="Times New Roman" w:cs="Times New Roman"/>
                    </w:rPr>
                  </w:pPr>
                  <w:r w:rsidRPr="00AC2F66">
                    <w:rPr>
                      <w:rFonts w:ascii="Times New Roman" w:hAnsi="Times New Roman" w:cs="Times New Roman"/>
                    </w:rPr>
                    <w:t>Брокер</w:t>
                  </w:r>
                  <w:r w:rsidR="00B546CA" w:rsidRPr="00AC2F66">
                    <w:rPr>
                      <w:rFonts w:ascii="Times New Roman" w:hAnsi="Times New Roman" w:cs="Times New Roman"/>
                    </w:rPr>
                    <w:t>, выступая в качестве налогового агента клиента, исчисляет, удерживает и перечисляет в бюджет Российской Федерации сумму налогов, а также, по требованию клиента предоставляет документы об осуществлении указанных выплат. Порядок, а также сроки исчисления и уплаты сумм налогов Компанией в бюджет Российской Федерации определяются действующим налоговым законодательством Российской Федерации.</w:t>
                  </w:r>
                  <w:r w:rsidRPr="00AC2F66">
                    <w:rPr>
                      <w:rFonts w:ascii="Times New Roman" w:hAnsi="Times New Roman" w:cs="Times New Roman"/>
                    </w:rPr>
                    <w:t xml:space="preserve"> </w:t>
                  </w:r>
                </w:p>
                <w:p w14:paraId="5ACA49A2" w14:textId="0DC4DB96" w:rsidR="00AC2F66" w:rsidRPr="00AC2F66" w:rsidRDefault="00AC2F66" w:rsidP="00AC2F66">
                  <w:pPr>
                    <w:jc w:val="both"/>
                    <w:rPr>
                      <w:rFonts w:ascii="Times New Roman" w:hAnsi="Times New Roman" w:cs="Times New Roman"/>
                    </w:rPr>
                  </w:pPr>
                  <w:r w:rsidRPr="00AC2F66">
                    <w:rPr>
                      <w:rFonts w:ascii="Times New Roman" w:hAnsi="Times New Roman" w:cs="Times New Roman"/>
                    </w:rPr>
                    <w:t>Сообщения о невозможности удержания суммы налога по итогам налогового периода направляются налоговым агентом в налоговые органы.</w:t>
                  </w:r>
                </w:p>
              </w:tc>
            </w:tr>
          </w:tbl>
          <w:p w14:paraId="28CFB675" w14:textId="59FC5B9F" w:rsidR="00B546CA" w:rsidRPr="00AC2F66" w:rsidRDefault="00B546CA" w:rsidP="004A51A2">
            <w:pPr>
              <w:ind w:firstLine="498"/>
              <w:jc w:val="both"/>
              <w:rPr>
                <w:rFonts w:ascii="Times New Roman" w:hAnsi="Times New Roman" w:cs="Times New Roman"/>
                <w:b/>
              </w:rPr>
            </w:pPr>
          </w:p>
        </w:tc>
      </w:tr>
    </w:tbl>
    <w:p w14:paraId="10F848D4" w14:textId="77777777" w:rsidR="00E37766" w:rsidRDefault="00E37766" w:rsidP="00B546CA">
      <w:pPr>
        <w:jc w:val="both"/>
        <w:rPr>
          <w:rFonts w:ascii="Times New Roman" w:hAnsi="Times New Roman" w:cs="Times New Roman"/>
        </w:rPr>
      </w:pPr>
    </w:p>
    <w:p w14:paraId="445594D0" w14:textId="558957C0" w:rsidR="00AC2F66" w:rsidRPr="00AC2F66" w:rsidRDefault="00B546CA" w:rsidP="00B546CA">
      <w:pPr>
        <w:jc w:val="both"/>
        <w:rPr>
          <w:rFonts w:ascii="Times New Roman" w:hAnsi="Times New Roman" w:cs="Times New Roman"/>
        </w:rPr>
      </w:pPr>
      <w:r w:rsidRPr="00AC2F66">
        <w:rPr>
          <w:rFonts w:ascii="Times New Roman" w:hAnsi="Times New Roman" w:cs="Times New Roman"/>
        </w:rPr>
        <w:t xml:space="preserve">Данная краткая информация не является основной и полной, носит ознакомительный характер. В случае разночтения надлежит руководствоваться </w:t>
      </w:r>
      <w:r w:rsidR="00AC2F66" w:rsidRPr="00AC2F66">
        <w:rPr>
          <w:rFonts w:ascii="Times New Roman" w:hAnsi="Times New Roman" w:cs="Times New Roman"/>
        </w:rPr>
        <w:t xml:space="preserve">Регламентом оказания брокерских услуг АО «ИК «Питер Траст» который определяет условия Договора о брокерском обслуживание </w:t>
      </w:r>
      <w:r w:rsidRPr="00AC2F66">
        <w:rPr>
          <w:rFonts w:ascii="Times New Roman" w:hAnsi="Times New Roman" w:cs="Times New Roman"/>
        </w:rPr>
        <w:t xml:space="preserve">и приложениями к нему на официальном сайте </w:t>
      </w:r>
      <w:r w:rsidR="00AC2F66" w:rsidRPr="00AC2F66">
        <w:rPr>
          <w:rFonts w:ascii="Times New Roman" w:hAnsi="Times New Roman" w:cs="Times New Roman"/>
        </w:rPr>
        <w:t>http://piter-trust.ru/</w:t>
      </w:r>
      <w:r w:rsidRPr="00AC2F66">
        <w:rPr>
          <w:rFonts w:ascii="Times New Roman" w:hAnsi="Times New Roman" w:cs="Times New Roman"/>
        </w:rPr>
        <w:t xml:space="preserve">. При принятии решений в отношении вложений своих средств следует исходить из собственных инвестиционных целей, стратегий и финансовых возможностей и учитывать риски, которые могут привести к потере ваших вложенных средств. Более того, вы можете остаться должным </w:t>
      </w:r>
      <w:r w:rsidR="00AC2F66" w:rsidRPr="00AC2F66">
        <w:rPr>
          <w:rFonts w:ascii="Times New Roman" w:hAnsi="Times New Roman" w:cs="Times New Roman"/>
        </w:rPr>
        <w:t>Брокеру</w:t>
      </w:r>
      <w:r w:rsidRPr="00AC2F66">
        <w:rPr>
          <w:rFonts w:ascii="Times New Roman" w:hAnsi="Times New Roman" w:cs="Times New Roman"/>
        </w:rPr>
        <w:t xml:space="preserve"> и (или) третьим лицам. </w:t>
      </w:r>
      <w:r w:rsidR="00AC2F66" w:rsidRPr="00AC2F66">
        <w:rPr>
          <w:rFonts w:ascii="Times New Roman" w:hAnsi="Times New Roman" w:cs="Times New Roman"/>
        </w:rPr>
        <w:t>Брокер</w:t>
      </w:r>
      <w:r w:rsidRPr="00AC2F66">
        <w:rPr>
          <w:rFonts w:ascii="Times New Roman" w:hAnsi="Times New Roman" w:cs="Times New Roman"/>
        </w:rPr>
        <w:t xml:space="preserve"> не дает гарантий клиенту на получение дохода при инвестировании. С полной редакцией декларации о рисках вы можете ознакомиться в Приложении </w:t>
      </w:r>
      <w:r w:rsidR="00AC2F66" w:rsidRPr="00AC2F66">
        <w:rPr>
          <w:rFonts w:ascii="Times New Roman" w:hAnsi="Times New Roman" w:cs="Times New Roman"/>
        </w:rPr>
        <w:t>№7</w:t>
      </w:r>
      <w:r w:rsidRPr="00AC2F66">
        <w:rPr>
          <w:rFonts w:ascii="Times New Roman" w:hAnsi="Times New Roman" w:cs="Times New Roman"/>
        </w:rPr>
        <w:t xml:space="preserve"> к Регламенту оказания брокерских услуг на официальном сайте </w:t>
      </w:r>
      <w:r w:rsidR="00AC2F66" w:rsidRPr="00AC2F66">
        <w:rPr>
          <w:rStyle w:val="af2"/>
          <w:rFonts w:ascii="Times New Roman" w:hAnsi="Times New Roman" w:cs="Times New Roman"/>
          <w:b w:val="0"/>
          <w:bCs w:val="0"/>
          <w:color w:val="232323"/>
          <w:bdr w:val="none" w:sz="0" w:space="0" w:color="auto" w:frame="1"/>
          <w:shd w:val="clear" w:color="auto" w:fill="FFFFFF"/>
        </w:rPr>
        <w:t>http://piter-trust.ru/</w:t>
      </w:r>
      <w:r w:rsidR="00AC2F66" w:rsidRPr="00AC2F66">
        <w:rPr>
          <w:rFonts w:ascii="Times New Roman" w:hAnsi="Times New Roman" w:cs="Times New Roman"/>
        </w:rPr>
        <w:t xml:space="preserve"> </w:t>
      </w:r>
      <w:r w:rsidRPr="00AC2F66">
        <w:rPr>
          <w:rFonts w:ascii="Times New Roman" w:hAnsi="Times New Roman" w:cs="Times New Roman"/>
        </w:rPr>
        <w:t xml:space="preserve">или на бумажном носителе в офисе </w:t>
      </w:r>
      <w:r w:rsidR="00AC2F66" w:rsidRPr="00AC2F66">
        <w:rPr>
          <w:rFonts w:ascii="Times New Roman" w:hAnsi="Times New Roman" w:cs="Times New Roman"/>
        </w:rPr>
        <w:t>Брокера</w:t>
      </w:r>
      <w:r w:rsidRPr="00AC2F66">
        <w:rPr>
          <w:rFonts w:ascii="Times New Roman" w:hAnsi="Times New Roman" w:cs="Times New Roman"/>
        </w:rPr>
        <w:t xml:space="preserve">. Заполняется при получении лично: </w:t>
      </w:r>
    </w:p>
    <w:p w14:paraId="41E341E5" w14:textId="77777777" w:rsidR="00AC2F66" w:rsidRPr="00AC2F66" w:rsidRDefault="00B546CA" w:rsidP="00B546CA">
      <w:pPr>
        <w:jc w:val="both"/>
        <w:rPr>
          <w:rFonts w:ascii="Times New Roman" w:hAnsi="Times New Roman" w:cs="Times New Roman"/>
        </w:rPr>
      </w:pPr>
      <w:r w:rsidRPr="00AC2F66">
        <w:rPr>
          <w:rFonts w:ascii="Times New Roman" w:hAnsi="Times New Roman" w:cs="Times New Roman"/>
        </w:rPr>
        <w:t xml:space="preserve">Ознакомлен: «______» ________________ 20____г </w:t>
      </w:r>
    </w:p>
    <w:p w14:paraId="684D31AF" w14:textId="77777777" w:rsidR="00AC2F66" w:rsidRDefault="00B546CA" w:rsidP="00AC2F66">
      <w:pPr>
        <w:rPr>
          <w:rFonts w:ascii="Times New Roman" w:hAnsi="Times New Roman" w:cs="Times New Roman"/>
        </w:rPr>
      </w:pPr>
      <w:r w:rsidRPr="00AC2F66">
        <w:rPr>
          <w:rFonts w:ascii="Times New Roman" w:hAnsi="Times New Roman" w:cs="Times New Roman"/>
        </w:rPr>
        <w:t xml:space="preserve">Подпись клиента: _________________________ /___________________________ </w:t>
      </w:r>
      <w:r w:rsidR="00AC2F66" w:rsidRPr="00AC2F66">
        <w:rPr>
          <w:rFonts w:ascii="Times New Roman" w:hAnsi="Times New Roman" w:cs="Times New Roman"/>
        </w:rPr>
        <w:t xml:space="preserve">         </w:t>
      </w:r>
    </w:p>
    <w:p w14:paraId="2886FDAE" w14:textId="04CECB76" w:rsidR="00B546CA" w:rsidRPr="00AC2F66" w:rsidRDefault="00AC2F66" w:rsidP="00AC2F66">
      <w:pPr>
        <w:rPr>
          <w:rFonts w:ascii="Times New Roman" w:hAnsi="Times New Roman" w:cs="Times New Roman"/>
        </w:rPr>
      </w:pPr>
      <w:r>
        <w:rPr>
          <w:rFonts w:ascii="Times New Roman" w:hAnsi="Times New Roman" w:cs="Times New Roman"/>
        </w:rPr>
        <w:t xml:space="preserve">                                                                  </w:t>
      </w:r>
      <w:r w:rsidRPr="00AC2F66">
        <w:rPr>
          <w:rFonts w:ascii="Times New Roman" w:hAnsi="Times New Roman" w:cs="Times New Roman"/>
        </w:rPr>
        <w:t xml:space="preserve">   </w:t>
      </w:r>
      <w:r w:rsidR="00B546CA" w:rsidRPr="00AC2F66">
        <w:rPr>
          <w:rFonts w:ascii="Times New Roman" w:hAnsi="Times New Roman" w:cs="Times New Roman"/>
        </w:rPr>
        <w:t>(подпись) (Ф.И.О.</w:t>
      </w:r>
      <w:r w:rsidRPr="00AC2F66">
        <w:rPr>
          <w:rFonts w:ascii="Times New Roman" w:hAnsi="Times New Roman" w:cs="Times New Roman"/>
        </w:rPr>
        <w:t>)</w:t>
      </w:r>
      <w:r w:rsidRPr="00AC2F66">
        <w:rPr>
          <w:rFonts w:ascii="Times New Roman" w:hAnsi="Times New Roman" w:cs="Times New Roman"/>
          <w:b/>
          <w:bCs/>
        </w:rPr>
        <w:t xml:space="preserve"> </w:t>
      </w:r>
    </w:p>
    <w:sectPr w:rsidR="00B546CA" w:rsidRPr="00AC2F66" w:rsidSect="00AC2F66">
      <w:footerReference w:type="default" r:id="rId11"/>
      <w:pgSz w:w="11906" w:h="16838" w:code="9"/>
      <w:pgMar w:top="720" w:right="720" w:bottom="720" w:left="72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EEFF" w14:textId="77777777" w:rsidR="00D64496" w:rsidRDefault="00D64496" w:rsidP="00600672">
      <w:pPr>
        <w:spacing w:after="0" w:line="240" w:lineRule="auto"/>
      </w:pPr>
      <w:r>
        <w:separator/>
      </w:r>
    </w:p>
  </w:endnote>
  <w:endnote w:type="continuationSeparator" w:id="0">
    <w:p w14:paraId="6EF5423E" w14:textId="77777777" w:rsidR="00D64496" w:rsidRDefault="00D64496" w:rsidP="0060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icrosoft JhengHe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045C" w14:textId="513742DB" w:rsidR="005A479C" w:rsidRPr="00A100A5" w:rsidRDefault="005A479C">
    <w:pPr>
      <w:pStyle w:val="a5"/>
      <w:jc w:val="center"/>
      <w:rPr>
        <w:rFonts w:ascii="Times New Roman" w:hAnsi="Times New Roman" w:cs="Times New Roman"/>
      </w:rPr>
    </w:pPr>
  </w:p>
  <w:p w14:paraId="365DD40E" w14:textId="77777777" w:rsidR="005A479C" w:rsidRDefault="005A47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BAD2" w14:textId="77777777" w:rsidR="00D64496" w:rsidRDefault="00D64496" w:rsidP="00600672">
      <w:pPr>
        <w:spacing w:after="0" w:line="240" w:lineRule="auto"/>
      </w:pPr>
      <w:r>
        <w:separator/>
      </w:r>
    </w:p>
  </w:footnote>
  <w:footnote w:type="continuationSeparator" w:id="0">
    <w:p w14:paraId="48AA6E7B" w14:textId="77777777" w:rsidR="00D64496" w:rsidRDefault="00D64496" w:rsidP="006006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16A"/>
    <w:multiLevelType w:val="multilevel"/>
    <w:tmpl w:val="8780BD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A07A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2B1EFF"/>
    <w:multiLevelType w:val="multilevel"/>
    <w:tmpl w:val="4E9417E0"/>
    <w:lvl w:ilvl="0">
      <w:start w:val="1"/>
      <w:numFmt w:val="bullet"/>
      <w:lvlText w:val=""/>
      <w:lvlJc w:val="left"/>
      <w:pPr>
        <w:tabs>
          <w:tab w:val="num" w:pos="360"/>
        </w:tabs>
        <w:ind w:left="360" w:hanging="360"/>
      </w:pPr>
      <w:rPr>
        <w:rFonts w:ascii="Symbol" w:hAnsi="Symbol" w:hint="default"/>
        <w:sz w:val="24"/>
      </w:rPr>
    </w:lvl>
    <w:lvl w:ilvl="1">
      <w:start w:val="1"/>
      <w:numFmt w:val="decimal"/>
      <w:lvlText w:val="%1.%2."/>
      <w:lvlJc w:val="left"/>
      <w:pPr>
        <w:tabs>
          <w:tab w:val="num" w:pos="574"/>
        </w:tabs>
        <w:ind w:left="574" w:hanging="432"/>
      </w:pPr>
      <w:rPr>
        <w:rFonts w:ascii="Times New Roman" w:hAnsi="Times New Roman" w:cs="Times New Roman" w:hint="default"/>
        <w:b/>
        <w:bCs w:val="0"/>
        <w:sz w:val="22"/>
        <w:szCs w:val="22"/>
      </w:rPr>
    </w:lvl>
    <w:lvl w:ilvl="2">
      <w:start w:val="1"/>
      <w:numFmt w:val="decimal"/>
      <w:lvlText w:val="%1.%2.%3."/>
      <w:lvlJc w:val="left"/>
      <w:pPr>
        <w:tabs>
          <w:tab w:val="num" w:pos="1440"/>
        </w:tabs>
        <w:ind w:left="1224" w:hanging="504"/>
      </w:pPr>
      <w:rPr>
        <w:rFonts w:ascii="Times New Roman" w:hAnsi="Times New Roman"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22B218C"/>
    <w:multiLevelType w:val="multilevel"/>
    <w:tmpl w:val="6F0444F2"/>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val="0"/>
        <w:bCs w:val="0"/>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127A7B54"/>
    <w:multiLevelType w:val="hybridMultilevel"/>
    <w:tmpl w:val="373EB33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B7A3D23"/>
    <w:multiLevelType w:val="multilevel"/>
    <w:tmpl w:val="0964BC7A"/>
    <w:lvl w:ilvl="0">
      <w:start w:val="18"/>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3E50C2"/>
    <w:multiLevelType w:val="hybridMultilevel"/>
    <w:tmpl w:val="CB90F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6022C4F"/>
    <w:multiLevelType w:val="multilevel"/>
    <w:tmpl w:val="A934C25A"/>
    <w:lvl w:ilvl="0">
      <w:start w:val="1"/>
      <w:numFmt w:val="decimal"/>
      <w:lvlText w:val="%1."/>
      <w:lvlJc w:val="left"/>
      <w:pPr>
        <w:ind w:left="720" w:hanging="360"/>
      </w:pPr>
      <w:rPr>
        <w:rFonts w:ascii="Times New Roman" w:hAnsi="Times New Roman" w:cs="Times New Roman"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397B7197"/>
    <w:multiLevelType w:val="hybridMultilevel"/>
    <w:tmpl w:val="FADA0AE6"/>
    <w:lvl w:ilvl="0" w:tplc="04190011">
      <w:start w:val="1"/>
      <w:numFmt w:val="decimal"/>
      <w:lvlText w:val="%1)"/>
      <w:lvlJc w:val="left"/>
      <w:pPr>
        <w:ind w:left="1211" w:hanging="360"/>
      </w:pPr>
      <w:rPr>
        <w:rFonts w:hint="default"/>
      </w:rPr>
    </w:lvl>
    <w:lvl w:ilvl="1" w:tplc="FFFFFFFF" w:tentative="1">
      <w:start w:val="1"/>
      <w:numFmt w:val="bullet"/>
      <w:lvlText w:val="o"/>
      <w:lvlJc w:val="left"/>
      <w:pPr>
        <w:ind w:left="1931" w:hanging="360"/>
      </w:pPr>
      <w:rPr>
        <w:rFonts w:ascii="Courier New" w:hAnsi="Courier New" w:cs="Courier New" w:hint="default"/>
      </w:rPr>
    </w:lvl>
    <w:lvl w:ilvl="2" w:tplc="FFFFFFFF">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10" w15:restartNumberingAfterBreak="0">
    <w:nsid w:val="3A9945F8"/>
    <w:multiLevelType w:val="hybridMultilevel"/>
    <w:tmpl w:val="22489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AF2CD8"/>
    <w:multiLevelType w:val="multilevel"/>
    <w:tmpl w:val="4C8286CE"/>
    <w:lvl w:ilvl="0">
      <w:start w:val="9"/>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15:restartNumberingAfterBreak="0">
    <w:nsid w:val="47B94FF0"/>
    <w:multiLevelType w:val="multilevel"/>
    <w:tmpl w:val="42648454"/>
    <w:lvl w:ilvl="0">
      <w:start w:val="4"/>
      <w:numFmt w:val="decimal"/>
      <w:lvlText w:val="%1."/>
      <w:lvlJc w:val="left"/>
      <w:pPr>
        <w:ind w:left="1070" w:hanging="360"/>
      </w:pPr>
      <w:rPr>
        <w:rFonts w:ascii="Times New Roman" w:hAnsi="Times New Roman" w:hint="default"/>
        <w:b/>
        <w:bCs w:val="0"/>
        <w:sz w:val="22"/>
        <w:szCs w:val="22"/>
      </w:rPr>
    </w:lvl>
    <w:lvl w:ilvl="1">
      <w:start w:val="1"/>
      <w:numFmt w:val="decimal"/>
      <w:lvlText w:val="%1.%2."/>
      <w:lvlJc w:val="left"/>
      <w:pPr>
        <w:ind w:left="786" w:hanging="360"/>
      </w:pPr>
      <w:rPr>
        <w:rFonts w:ascii="Times New Roman" w:hAnsi="Times New Roman" w:hint="default"/>
        <w:b w:val="0"/>
        <w:bCs w:val="0"/>
        <w:sz w:val="22"/>
        <w:szCs w:val="22"/>
      </w:rPr>
    </w:lvl>
    <w:lvl w:ilvl="2">
      <w:start w:val="1"/>
      <w:numFmt w:val="decimal"/>
      <w:lvlText w:val="%1.%2.%3."/>
      <w:lvlJc w:val="left"/>
      <w:pPr>
        <w:ind w:left="2280" w:hanging="720"/>
      </w:pPr>
      <w:rPr>
        <w:rFonts w:ascii="Times New Roman" w:hAnsi="Times New Roman" w:hint="default"/>
        <w:b w:val="0"/>
        <w:bCs w:val="0"/>
        <w:color w:val="auto"/>
      </w:rPr>
    </w:lvl>
    <w:lvl w:ilvl="3">
      <w:start w:val="1"/>
      <w:numFmt w:val="decimal"/>
      <w:lvlText w:val="%1.%2.%3.%4."/>
      <w:lvlJc w:val="left"/>
      <w:pPr>
        <w:ind w:left="3981" w:hanging="720"/>
      </w:pPr>
      <w:rPr>
        <w:rFonts w:ascii="Times New Roman" w:hAnsi="Times New Roman" w:hint="default"/>
      </w:rPr>
    </w:lvl>
    <w:lvl w:ilvl="4">
      <w:start w:val="1"/>
      <w:numFmt w:val="decimal"/>
      <w:lvlText w:val="%1.%2.%3.%4.%5."/>
      <w:lvlJc w:val="left"/>
      <w:pPr>
        <w:ind w:left="4341" w:hanging="1080"/>
      </w:pPr>
      <w:rPr>
        <w:rFonts w:ascii="Times New Roman" w:hAnsi="Times New Roman" w:hint="default"/>
      </w:rPr>
    </w:lvl>
    <w:lvl w:ilvl="5">
      <w:start w:val="1"/>
      <w:numFmt w:val="decimal"/>
      <w:lvlText w:val="%1.%2.%3.%4.%5.%6."/>
      <w:lvlJc w:val="left"/>
      <w:pPr>
        <w:ind w:left="4341" w:hanging="1080"/>
      </w:pPr>
      <w:rPr>
        <w:rFonts w:ascii="Times New Roman" w:hAnsi="Times New Roman" w:hint="default"/>
      </w:rPr>
    </w:lvl>
    <w:lvl w:ilvl="6">
      <w:start w:val="1"/>
      <w:numFmt w:val="decimal"/>
      <w:lvlText w:val="%1.%2.%3.%4.%5.%6.%7."/>
      <w:lvlJc w:val="left"/>
      <w:pPr>
        <w:ind w:left="4701" w:hanging="1440"/>
      </w:pPr>
      <w:rPr>
        <w:rFonts w:ascii="Times New Roman" w:hAnsi="Times New Roman" w:hint="default"/>
      </w:rPr>
    </w:lvl>
    <w:lvl w:ilvl="7">
      <w:start w:val="1"/>
      <w:numFmt w:val="decimal"/>
      <w:lvlText w:val="%1.%2.%3.%4.%5.%6.%7.%8."/>
      <w:lvlJc w:val="left"/>
      <w:pPr>
        <w:ind w:left="4701" w:hanging="1440"/>
      </w:pPr>
      <w:rPr>
        <w:rFonts w:ascii="Times New Roman" w:hAnsi="Times New Roman" w:hint="default"/>
      </w:rPr>
    </w:lvl>
    <w:lvl w:ilvl="8">
      <w:start w:val="1"/>
      <w:numFmt w:val="decimal"/>
      <w:lvlText w:val="%1.%2.%3.%4.%5.%6.%7.%8.%9."/>
      <w:lvlJc w:val="left"/>
      <w:pPr>
        <w:ind w:left="5061" w:hanging="1800"/>
      </w:pPr>
      <w:rPr>
        <w:rFonts w:ascii="Times New Roman" w:hAnsi="Times New Roman" w:hint="default"/>
      </w:rPr>
    </w:lvl>
  </w:abstractNum>
  <w:abstractNum w:abstractNumId="13" w15:restartNumberingAfterBreak="0">
    <w:nsid w:val="4B1F1DF1"/>
    <w:multiLevelType w:val="multilevel"/>
    <w:tmpl w:val="D09C8DB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A0470F"/>
    <w:multiLevelType w:val="multilevel"/>
    <w:tmpl w:val="A7A4DC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124A87"/>
    <w:multiLevelType w:val="multilevel"/>
    <w:tmpl w:val="A086B3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8D6860"/>
    <w:multiLevelType w:val="hybridMultilevel"/>
    <w:tmpl w:val="D1762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5215DCD"/>
    <w:multiLevelType w:val="hybridMultilevel"/>
    <w:tmpl w:val="7654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411454"/>
    <w:multiLevelType w:val="multilevel"/>
    <w:tmpl w:val="705CEA1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BE912AA"/>
    <w:multiLevelType w:val="hybridMultilevel"/>
    <w:tmpl w:val="734CC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304F66"/>
    <w:multiLevelType w:val="multilevel"/>
    <w:tmpl w:val="1BB8B91A"/>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ascii="Times New Roman" w:hAnsi="Times New Roman" w:cs="Times New Roman" w:hint="default"/>
        <w:b/>
        <w:bCs w:val="0"/>
        <w:sz w:val="22"/>
        <w:szCs w:val="22"/>
      </w:rPr>
    </w:lvl>
    <w:lvl w:ilvl="2">
      <w:start w:val="1"/>
      <w:numFmt w:val="decimal"/>
      <w:lvlText w:val="%1.%2.%3."/>
      <w:lvlJc w:val="left"/>
      <w:pPr>
        <w:ind w:left="248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4B48F8"/>
    <w:multiLevelType w:val="multilevel"/>
    <w:tmpl w:val="0AA009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524EF4"/>
    <w:multiLevelType w:val="multilevel"/>
    <w:tmpl w:val="5FB63C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DE3691"/>
    <w:multiLevelType w:val="multilevel"/>
    <w:tmpl w:val="A38242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C9A66DD"/>
    <w:multiLevelType w:val="multilevel"/>
    <w:tmpl w:val="02A82302"/>
    <w:lvl w:ilvl="0">
      <w:start w:val="11"/>
      <w:numFmt w:val="decimal"/>
      <w:lvlText w:val="%1."/>
      <w:lvlJc w:val="left"/>
      <w:pPr>
        <w:ind w:left="447" w:hanging="447"/>
      </w:pPr>
      <w:rPr>
        <w:rFonts w:hint="default"/>
      </w:rPr>
    </w:lvl>
    <w:lvl w:ilvl="1">
      <w:start w:val="1"/>
      <w:numFmt w:val="decimal"/>
      <w:lvlText w:val="%1.%2."/>
      <w:lvlJc w:val="left"/>
      <w:pPr>
        <w:ind w:left="447" w:hanging="44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7077C5"/>
    <w:multiLevelType w:val="multilevel"/>
    <w:tmpl w:val="C848F75A"/>
    <w:lvl w:ilvl="0">
      <w:start w:val="4"/>
      <w:numFmt w:val="decimal"/>
      <w:lvlText w:val="%1."/>
      <w:lvlJc w:val="left"/>
      <w:pPr>
        <w:ind w:left="1353" w:hanging="360"/>
      </w:pPr>
      <w:rPr>
        <w:rFonts w:ascii="Times New Roman" w:hAnsi="Times New Roman" w:hint="default"/>
        <w:b/>
        <w:bCs w:val="0"/>
        <w:sz w:val="22"/>
        <w:szCs w:val="22"/>
      </w:rPr>
    </w:lvl>
    <w:lvl w:ilvl="1">
      <w:start w:val="1"/>
      <w:numFmt w:val="decimal"/>
      <w:lvlText w:val="%1.%2."/>
      <w:lvlJc w:val="left"/>
      <w:pPr>
        <w:ind w:left="3621" w:hanging="360"/>
      </w:pPr>
      <w:rPr>
        <w:rFonts w:ascii="Times New Roman" w:hAnsi="Times New Roman" w:hint="default"/>
        <w:b/>
        <w:bCs/>
        <w:sz w:val="22"/>
        <w:szCs w:val="22"/>
      </w:rPr>
    </w:lvl>
    <w:lvl w:ilvl="2">
      <w:start w:val="1"/>
      <w:numFmt w:val="decimal"/>
      <w:lvlText w:val="%1.%2.%3."/>
      <w:lvlJc w:val="left"/>
      <w:pPr>
        <w:ind w:left="3131" w:hanging="720"/>
      </w:pPr>
      <w:rPr>
        <w:rFonts w:ascii="Times New Roman" w:hAnsi="Times New Roman" w:hint="default"/>
        <w:b w:val="0"/>
        <w:bCs w:val="0"/>
        <w:color w:val="auto"/>
      </w:rPr>
    </w:lvl>
    <w:lvl w:ilvl="3">
      <w:start w:val="1"/>
      <w:numFmt w:val="decimal"/>
      <w:lvlText w:val="%1.%2.%3.%4."/>
      <w:lvlJc w:val="left"/>
      <w:pPr>
        <w:ind w:left="3981" w:hanging="720"/>
      </w:pPr>
      <w:rPr>
        <w:rFonts w:ascii="Times New Roman" w:hAnsi="Times New Roman" w:hint="default"/>
      </w:rPr>
    </w:lvl>
    <w:lvl w:ilvl="4">
      <w:start w:val="1"/>
      <w:numFmt w:val="decimal"/>
      <w:lvlText w:val="%1.%2.%3.%4.%5."/>
      <w:lvlJc w:val="left"/>
      <w:pPr>
        <w:ind w:left="4341" w:hanging="1080"/>
      </w:pPr>
      <w:rPr>
        <w:rFonts w:ascii="Times New Roman" w:hAnsi="Times New Roman" w:hint="default"/>
      </w:rPr>
    </w:lvl>
    <w:lvl w:ilvl="5">
      <w:start w:val="1"/>
      <w:numFmt w:val="decimal"/>
      <w:lvlText w:val="%1.%2.%3.%4.%5.%6."/>
      <w:lvlJc w:val="left"/>
      <w:pPr>
        <w:ind w:left="4341" w:hanging="1080"/>
      </w:pPr>
      <w:rPr>
        <w:rFonts w:ascii="Times New Roman" w:hAnsi="Times New Roman" w:hint="default"/>
      </w:rPr>
    </w:lvl>
    <w:lvl w:ilvl="6">
      <w:start w:val="1"/>
      <w:numFmt w:val="decimal"/>
      <w:lvlText w:val="%1.%2.%3.%4.%5.%6.%7."/>
      <w:lvlJc w:val="left"/>
      <w:pPr>
        <w:ind w:left="4701" w:hanging="1440"/>
      </w:pPr>
      <w:rPr>
        <w:rFonts w:ascii="Times New Roman" w:hAnsi="Times New Roman" w:hint="default"/>
      </w:rPr>
    </w:lvl>
    <w:lvl w:ilvl="7">
      <w:start w:val="1"/>
      <w:numFmt w:val="decimal"/>
      <w:lvlText w:val="%1.%2.%3.%4.%5.%6.%7.%8."/>
      <w:lvlJc w:val="left"/>
      <w:pPr>
        <w:ind w:left="4701" w:hanging="1440"/>
      </w:pPr>
      <w:rPr>
        <w:rFonts w:ascii="Times New Roman" w:hAnsi="Times New Roman" w:hint="default"/>
      </w:rPr>
    </w:lvl>
    <w:lvl w:ilvl="8">
      <w:start w:val="1"/>
      <w:numFmt w:val="decimal"/>
      <w:lvlText w:val="%1.%2.%3.%4.%5.%6.%7.%8.%9."/>
      <w:lvlJc w:val="left"/>
      <w:pPr>
        <w:ind w:left="5061" w:hanging="1800"/>
      </w:pPr>
      <w:rPr>
        <w:rFonts w:ascii="Times New Roman" w:hAnsi="Times New Roman" w:hint="default"/>
      </w:rPr>
    </w:lvl>
  </w:abstractNum>
  <w:num w:numId="1" w16cid:durableId="516505151">
    <w:abstractNumId w:val="8"/>
  </w:num>
  <w:num w:numId="2" w16cid:durableId="2100826811">
    <w:abstractNumId w:val="12"/>
  </w:num>
  <w:num w:numId="3" w16cid:durableId="1190752635">
    <w:abstractNumId w:val="3"/>
  </w:num>
  <w:num w:numId="4" w16cid:durableId="1958943864">
    <w:abstractNumId w:val="21"/>
  </w:num>
  <w:num w:numId="5" w16cid:durableId="1696270978">
    <w:abstractNumId w:val="18"/>
  </w:num>
  <w:num w:numId="6" w16cid:durableId="1851987192">
    <w:abstractNumId w:val="20"/>
  </w:num>
  <w:num w:numId="7" w16cid:durableId="616259744">
    <w:abstractNumId w:val="10"/>
  </w:num>
  <w:num w:numId="8" w16cid:durableId="2126920158">
    <w:abstractNumId w:val="22"/>
  </w:num>
  <w:num w:numId="9" w16cid:durableId="2113165830">
    <w:abstractNumId w:val="26"/>
  </w:num>
  <w:num w:numId="10" w16cid:durableId="1392579404">
    <w:abstractNumId w:val="4"/>
  </w:num>
  <w:num w:numId="11" w16cid:durableId="161505194">
    <w:abstractNumId w:val="9"/>
  </w:num>
  <w:num w:numId="12" w16cid:durableId="1285577449">
    <w:abstractNumId w:val="1"/>
  </w:num>
  <w:num w:numId="13" w16cid:durableId="1881086979">
    <w:abstractNumId w:val="15"/>
  </w:num>
  <w:num w:numId="14" w16cid:durableId="381489892">
    <w:abstractNumId w:val="2"/>
  </w:num>
  <w:num w:numId="15" w16cid:durableId="130632363">
    <w:abstractNumId w:val="14"/>
  </w:num>
  <w:num w:numId="16" w16cid:durableId="84570135">
    <w:abstractNumId w:val="11"/>
  </w:num>
  <w:num w:numId="17" w16cid:durableId="288780359">
    <w:abstractNumId w:val="13"/>
  </w:num>
  <w:num w:numId="18" w16cid:durableId="1034773337">
    <w:abstractNumId w:val="25"/>
  </w:num>
  <w:num w:numId="19" w16cid:durableId="490102009">
    <w:abstractNumId w:val="5"/>
  </w:num>
  <w:num w:numId="20" w16cid:durableId="1492792444">
    <w:abstractNumId w:val="6"/>
  </w:num>
  <w:num w:numId="21" w16cid:durableId="1040546247">
    <w:abstractNumId w:val="7"/>
  </w:num>
  <w:num w:numId="22" w16cid:durableId="801848658">
    <w:abstractNumId w:val="17"/>
  </w:num>
  <w:num w:numId="23" w16cid:durableId="566066813">
    <w:abstractNumId w:val="0"/>
  </w:num>
  <w:num w:numId="24" w16cid:durableId="636882103">
    <w:abstractNumId w:val="24"/>
  </w:num>
  <w:num w:numId="25" w16cid:durableId="374163429">
    <w:abstractNumId w:val="19"/>
  </w:num>
  <w:num w:numId="26" w16cid:durableId="920875745">
    <w:abstractNumId w:val="23"/>
  </w:num>
  <w:num w:numId="27" w16cid:durableId="8487148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72"/>
    <w:rsid w:val="000031C1"/>
    <w:rsid w:val="000855CB"/>
    <w:rsid w:val="000C5D2F"/>
    <w:rsid w:val="00161224"/>
    <w:rsid w:val="001928C8"/>
    <w:rsid w:val="001B1904"/>
    <w:rsid w:val="002166C6"/>
    <w:rsid w:val="00245F17"/>
    <w:rsid w:val="00272FAA"/>
    <w:rsid w:val="00294312"/>
    <w:rsid w:val="002C751C"/>
    <w:rsid w:val="00334B3E"/>
    <w:rsid w:val="0035367A"/>
    <w:rsid w:val="003917C5"/>
    <w:rsid w:val="00433A76"/>
    <w:rsid w:val="004A22E4"/>
    <w:rsid w:val="004A51A2"/>
    <w:rsid w:val="004D4260"/>
    <w:rsid w:val="004F6349"/>
    <w:rsid w:val="005A479C"/>
    <w:rsid w:val="005B685E"/>
    <w:rsid w:val="00600672"/>
    <w:rsid w:val="006167CA"/>
    <w:rsid w:val="00622233"/>
    <w:rsid w:val="0064292D"/>
    <w:rsid w:val="00682AE2"/>
    <w:rsid w:val="006A0BA9"/>
    <w:rsid w:val="006B6A19"/>
    <w:rsid w:val="006F7117"/>
    <w:rsid w:val="00712868"/>
    <w:rsid w:val="00750A4A"/>
    <w:rsid w:val="00777639"/>
    <w:rsid w:val="007936D4"/>
    <w:rsid w:val="007F16E2"/>
    <w:rsid w:val="00803572"/>
    <w:rsid w:val="00825060"/>
    <w:rsid w:val="00841FA1"/>
    <w:rsid w:val="0085791C"/>
    <w:rsid w:val="00886DE8"/>
    <w:rsid w:val="008C15D6"/>
    <w:rsid w:val="00927A0E"/>
    <w:rsid w:val="009345FF"/>
    <w:rsid w:val="0097789C"/>
    <w:rsid w:val="009A1465"/>
    <w:rsid w:val="009F2B86"/>
    <w:rsid w:val="00A00D14"/>
    <w:rsid w:val="00A100A5"/>
    <w:rsid w:val="00AC2F66"/>
    <w:rsid w:val="00AC73DB"/>
    <w:rsid w:val="00AD650E"/>
    <w:rsid w:val="00B34D01"/>
    <w:rsid w:val="00B44CE0"/>
    <w:rsid w:val="00B546CA"/>
    <w:rsid w:val="00BA7E26"/>
    <w:rsid w:val="00BB6C02"/>
    <w:rsid w:val="00C0781F"/>
    <w:rsid w:val="00C24658"/>
    <w:rsid w:val="00C6365A"/>
    <w:rsid w:val="00CA5C9B"/>
    <w:rsid w:val="00CD23B2"/>
    <w:rsid w:val="00CF74F1"/>
    <w:rsid w:val="00D4237B"/>
    <w:rsid w:val="00D64496"/>
    <w:rsid w:val="00DD1E4B"/>
    <w:rsid w:val="00DD7896"/>
    <w:rsid w:val="00DF33A2"/>
    <w:rsid w:val="00E37766"/>
    <w:rsid w:val="00ED0CD6"/>
    <w:rsid w:val="00EF2631"/>
    <w:rsid w:val="00F659F1"/>
    <w:rsid w:val="00F664AC"/>
    <w:rsid w:val="00F91A0D"/>
    <w:rsid w:val="00FF4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A8A3F"/>
  <w15:chartTrackingRefBased/>
  <w15:docId w15:val="{B7DF4F35-C100-4F7D-A9CD-F0A1A75A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6A0B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6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0672"/>
  </w:style>
  <w:style w:type="paragraph" w:styleId="a5">
    <w:name w:val="footer"/>
    <w:basedOn w:val="a"/>
    <w:link w:val="a6"/>
    <w:uiPriority w:val="99"/>
    <w:unhideWhenUsed/>
    <w:rsid w:val="006006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0672"/>
  </w:style>
  <w:style w:type="paragraph" w:customStyle="1" w:styleId="-">
    <w:name w:val="Приложение-номер"/>
    <w:basedOn w:val="a"/>
    <w:rsid w:val="00600672"/>
    <w:pPr>
      <w:autoSpaceDE w:val="0"/>
      <w:autoSpaceDN w:val="0"/>
      <w:spacing w:after="0" w:line="240" w:lineRule="auto"/>
      <w:jc w:val="right"/>
    </w:pPr>
    <w:rPr>
      <w:rFonts w:ascii="Times New Roman" w:eastAsia="Times New Roman" w:hAnsi="Times New Roman" w:cs="Times New Roman"/>
      <w:kern w:val="24"/>
      <w:sz w:val="24"/>
      <w:szCs w:val="24"/>
      <w:lang w:eastAsia="ru-RU"/>
      <w14:ligatures w14:val="none"/>
    </w:rPr>
  </w:style>
  <w:style w:type="paragraph" w:customStyle="1" w:styleId="-0">
    <w:name w:val="Приложение-назв_документа"/>
    <w:basedOn w:val="a"/>
    <w:autoRedefine/>
    <w:rsid w:val="00600672"/>
    <w:pPr>
      <w:widowControl w:val="0"/>
      <w:autoSpaceDE w:val="0"/>
      <w:autoSpaceDN w:val="0"/>
      <w:spacing w:after="0" w:line="240" w:lineRule="auto"/>
      <w:ind w:left="4004"/>
      <w:jc w:val="right"/>
    </w:pPr>
    <w:rPr>
      <w:rFonts w:ascii="Times New Roman" w:eastAsia="Times New Roman" w:hAnsi="Times New Roman" w:cs="Times New Roman"/>
      <w:i/>
      <w:iCs/>
      <w:kern w:val="24"/>
      <w:sz w:val="18"/>
      <w:szCs w:val="24"/>
      <w:lang w:eastAsia="ru-RU"/>
      <w14:ligatures w14:val="none"/>
    </w:rPr>
  </w:style>
  <w:style w:type="paragraph" w:styleId="a7">
    <w:name w:val="List Paragraph"/>
    <w:basedOn w:val="a"/>
    <w:uiPriority w:val="34"/>
    <w:qFormat/>
    <w:rsid w:val="00682AE2"/>
    <w:pPr>
      <w:ind w:left="720"/>
      <w:contextualSpacing/>
    </w:pPr>
  </w:style>
  <w:style w:type="paragraph" w:styleId="3">
    <w:name w:val="Body Text 3"/>
    <w:basedOn w:val="a"/>
    <w:link w:val="30"/>
    <w:rsid w:val="004A51A2"/>
    <w:pPr>
      <w:spacing w:after="0" w:line="240" w:lineRule="auto"/>
      <w:jc w:val="both"/>
    </w:pPr>
    <w:rPr>
      <w:rFonts w:ascii="Arial" w:eastAsia="Times New Roman" w:hAnsi="Arial" w:cs="Times New Roman"/>
      <w:b/>
      <w:i/>
      <w:kern w:val="0"/>
      <w:sz w:val="18"/>
      <w:szCs w:val="20"/>
      <w:lang w:eastAsia="ru-RU"/>
      <w14:ligatures w14:val="none"/>
    </w:rPr>
  </w:style>
  <w:style w:type="character" w:customStyle="1" w:styleId="30">
    <w:name w:val="Основной текст 3 Знак"/>
    <w:basedOn w:val="a0"/>
    <w:link w:val="3"/>
    <w:rsid w:val="004A51A2"/>
    <w:rPr>
      <w:rFonts w:ascii="Arial" w:eastAsia="Times New Roman" w:hAnsi="Arial" w:cs="Times New Roman"/>
      <w:b/>
      <w:i/>
      <w:kern w:val="0"/>
      <w:sz w:val="18"/>
      <w:szCs w:val="20"/>
      <w:lang w:eastAsia="ru-RU"/>
      <w14:ligatures w14:val="none"/>
    </w:rPr>
  </w:style>
  <w:style w:type="paragraph" w:styleId="a8">
    <w:name w:val="Body Text"/>
    <w:basedOn w:val="a"/>
    <w:link w:val="a9"/>
    <w:uiPriority w:val="99"/>
    <w:unhideWhenUsed/>
    <w:rsid w:val="00272FAA"/>
    <w:pPr>
      <w:spacing w:after="120"/>
    </w:pPr>
  </w:style>
  <w:style w:type="character" w:customStyle="1" w:styleId="a9">
    <w:name w:val="Основной текст Знак"/>
    <w:basedOn w:val="a0"/>
    <w:link w:val="a8"/>
    <w:uiPriority w:val="99"/>
    <w:rsid w:val="00272FAA"/>
  </w:style>
  <w:style w:type="character" w:styleId="aa">
    <w:name w:val="annotation reference"/>
    <w:basedOn w:val="a0"/>
    <w:semiHidden/>
    <w:rsid w:val="00272FAA"/>
    <w:rPr>
      <w:rFonts w:cs="Times New Roman"/>
      <w:sz w:val="16"/>
    </w:rPr>
  </w:style>
  <w:style w:type="paragraph" w:styleId="ab">
    <w:name w:val="annotation text"/>
    <w:basedOn w:val="a"/>
    <w:link w:val="ac"/>
    <w:semiHidden/>
    <w:rsid w:val="00272FAA"/>
    <w:pPr>
      <w:spacing w:after="0" w:line="240" w:lineRule="auto"/>
    </w:pPr>
    <w:rPr>
      <w:rFonts w:ascii="Times New Roman" w:eastAsia="Times New Roman" w:hAnsi="Times New Roman" w:cs="Times New Roman"/>
      <w:kern w:val="0"/>
      <w:sz w:val="20"/>
      <w:szCs w:val="20"/>
      <w:lang w:eastAsia="ar-SA"/>
      <w14:ligatures w14:val="none"/>
    </w:rPr>
  </w:style>
  <w:style w:type="character" w:customStyle="1" w:styleId="ac">
    <w:name w:val="Текст примечания Знак"/>
    <w:basedOn w:val="a0"/>
    <w:link w:val="ab"/>
    <w:semiHidden/>
    <w:rsid w:val="00272FAA"/>
    <w:rPr>
      <w:rFonts w:ascii="Times New Roman" w:eastAsia="Times New Roman" w:hAnsi="Times New Roman" w:cs="Times New Roman"/>
      <w:kern w:val="0"/>
      <w:sz w:val="20"/>
      <w:szCs w:val="20"/>
      <w:lang w:eastAsia="ar-SA"/>
      <w14:ligatures w14:val="none"/>
    </w:rPr>
  </w:style>
  <w:style w:type="character" w:styleId="ad">
    <w:name w:val="Hyperlink"/>
    <w:basedOn w:val="a0"/>
    <w:uiPriority w:val="99"/>
    <w:unhideWhenUsed/>
    <w:rsid w:val="000031C1"/>
    <w:rPr>
      <w:color w:val="0563C1" w:themeColor="hyperlink"/>
      <w:u w:val="single"/>
    </w:rPr>
  </w:style>
  <w:style w:type="character" w:styleId="ae">
    <w:name w:val="Unresolved Mention"/>
    <w:basedOn w:val="a0"/>
    <w:uiPriority w:val="99"/>
    <w:semiHidden/>
    <w:unhideWhenUsed/>
    <w:rsid w:val="000031C1"/>
    <w:rPr>
      <w:color w:val="605E5C"/>
      <w:shd w:val="clear" w:color="auto" w:fill="E1DFDD"/>
    </w:rPr>
  </w:style>
  <w:style w:type="paragraph" w:customStyle="1" w:styleId="Normal1">
    <w:name w:val="Normal1"/>
    <w:uiPriority w:val="99"/>
    <w:rsid w:val="003917C5"/>
    <w:pPr>
      <w:suppressAutoHyphens/>
      <w:spacing w:after="0" w:line="240" w:lineRule="auto"/>
      <w:ind w:left="426"/>
    </w:pPr>
    <w:rPr>
      <w:rFonts w:ascii="Times New Roman" w:eastAsia="Times New Roman" w:hAnsi="Times New Roman" w:cs="Times New Roman"/>
      <w:kern w:val="0"/>
      <w:sz w:val="24"/>
      <w:szCs w:val="20"/>
      <w:lang w:eastAsia="ar-SA"/>
      <w14:ligatures w14:val="none"/>
    </w:rPr>
  </w:style>
  <w:style w:type="paragraph" w:customStyle="1" w:styleId="Default">
    <w:name w:val="Default"/>
    <w:rsid w:val="00161224"/>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p10">
    <w:name w:val="p10"/>
    <w:basedOn w:val="a"/>
    <w:rsid w:val="00AC73DB"/>
    <w:pPr>
      <w:spacing w:before="100" w:beforeAutospacing="1" w:after="100" w:afterAutospacing="1" w:line="240" w:lineRule="auto"/>
      <w:jc w:val="both"/>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rsid w:val="006A0BA9"/>
    <w:rPr>
      <w:rFonts w:asciiTheme="majorHAnsi" w:eastAsiaTheme="majorEastAsia" w:hAnsiTheme="majorHAnsi" w:cstheme="majorBidi"/>
      <w:color w:val="2F5496" w:themeColor="accent1" w:themeShade="BF"/>
      <w:sz w:val="26"/>
      <w:szCs w:val="26"/>
    </w:rPr>
  </w:style>
  <w:style w:type="paragraph" w:styleId="af">
    <w:name w:val="Normal (Web)"/>
    <w:basedOn w:val="a"/>
    <w:uiPriority w:val="99"/>
    <w:semiHidden/>
    <w:unhideWhenUsed/>
    <w:rsid w:val="00ED0CD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f0">
    <w:name w:val="Emphasis"/>
    <w:basedOn w:val="a0"/>
    <w:uiPriority w:val="20"/>
    <w:qFormat/>
    <w:rsid w:val="00ED0CD6"/>
    <w:rPr>
      <w:i/>
      <w:iCs/>
    </w:rPr>
  </w:style>
  <w:style w:type="table" w:styleId="af1">
    <w:name w:val="Table Grid"/>
    <w:basedOn w:val="a1"/>
    <w:uiPriority w:val="39"/>
    <w:rsid w:val="00B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AC2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piter-tr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k.piter-trust.ru/" TargetMode="External"/><Relationship Id="rId4" Type="http://schemas.openxmlformats.org/officeDocument/2006/relationships/settings" Target="settings.xml"/><Relationship Id="rId9" Type="http://schemas.openxmlformats.org/officeDocument/2006/relationships/hyperlink" Target="https://lk.piter-trust.ru/users/sign_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9D4F-4406-4F65-9B4B-4CC068DE6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 Lyudmila I.</dc:creator>
  <cp:keywords/>
  <dc:description/>
  <cp:lastModifiedBy>Марина Суханова</cp:lastModifiedBy>
  <cp:revision>4</cp:revision>
  <dcterms:created xsi:type="dcterms:W3CDTF">2023-11-03T11:30:00Z</dcterms:created>
  <dcterms:modified xsi:type="dcterms:W3CDTF">2023-11-24T07:37:00Z</dcterms:modified>
</cp:coreProperties>
</file>