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B7" w:rsidRDefault="00D855B7" w:rsidP="00D855B7">
      <w:pPr>
        <w:rPr>
          <w:sz w:val="20"/>
          <w:szCs w:val="20"/>
        </w:rPr>
      </w:pPr>
      <w:r>
        <w:rPr>
          <w:rFonts w:eastAsia="Times New Roman"/>
        </w:rPr>
        <w:t>Раздел II. Расчет размера собственных средств профессионального участника рынка ценных бумаг (Активы)</w:t>
      </w:r>
    </w:p>
    <w:p w:rsidR="00D855B7" w:rsidRDefault="00D855B7" w:rsidP="00D855B7">
      <w:pPr>
        <w:spacing w:line="317" w:lineRule="exact"/>
        <w:rPr>
          <w:sz w:val="20"/>
          <w:szCs w:val="20"/>
        </w:rPr>
      </w:pPr>
    </w:p>
    <w:tbl>
      <w:tblPr>
        <w:tblW w:w="13332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843"/>
        <w:gridCol w:w="2133"/>
      </w:tblGrid>
      <w:tr w:rsidR="00D855B7" w:rsidTr="00D855B7">
        <w:trPr>
          <w:trHeight w:val="235"/>
        </w:trPr>
        <w:tc>
          <w:tcPr>
            <w:tcW w:w="9356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843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активов/обязательств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6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right="5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right="1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АКТИВЫ</w:t>
            </w:r>
          </w:p>
        </w:tc>
        <w:tc>
          <w:tcPr>
            <w:tcW w:w="1843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21"/>
                <w:szCs w:val="21"/>
              </w:rPr>
            </w:pP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средства профессионального участника, находящиеся в кассе</w:t>
            </w:r>
          </w:p>
        </w:tc>
        <w:tc>
          <w:tcPr>
            <w:tcW w:w="1843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средства профессионального участника и его клиентов, находящиеся на его расчетных счетах и специальных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216 447,17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банковских счетах в кредитных организациях и иностранных банках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средства профессионального участника во вкладах (депозитах) в кредитных организациях и иностранных</w:t>
            </w:r>
          </w:p>
        </w:tc>
        <w:tc>
          <w:tcPr>
            <w:tcW w:w="1843" w:type="dxa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банках (за исключением субординированных депозитов), а также суммы процентов, причитающихся по вкладу (депозиту)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расчетную дату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Драгоценные металлы профессионального участника во вкладах (депозитах) в кредитных организациях и иностранных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банках, а также суммы процентов, причитающихся по вкладу (депозиту) на расчетную дату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6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Драгоценные металлы профессионального участника на его счетах в кредитных организациях</w:t>
            </w:r>
          </w:p>
        </w:tc>
        <w:tc>
          <w:tcPr>
            <w:tcW w:w="1843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Денежные средства профессионального участника, переданные по договору доверительного управления управляющему и</w:t>
            </w:r>
          </w:p>
        </w:tc>
        <w:tc>
          <w:tcPr>
            <w:tcW w:w="1843" w:type="dxa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(или) иностранному лицу, имеющему право в соответствии с его личным законом осуществлять деятельность по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управлению ценными бумагами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средства профессионального участника и его клиентов, переданные по договору о брокерском обслуживании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58 080 749,48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брокеру и (или) иностранному лицу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средства профессионального участника и его клиентов, переданные в обеспечение исполнения обязательств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698 504 327,45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 участника и (или) его клиентов, включая индивидуальное и коллективное клиринговое обеспечение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Драгоценные металлы профессионального участника, переданные в обеспечение исполнения обязательств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 участника, включая индивидуальное и коллективное клиринговое обеспечение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Ценные бумаги профессионального участника, переданные в обеспечение исполнения обязательств профессионального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участника, включая индивидуальное и коллективное клиринговое обеспечение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Дебиторская задолженность по выплате профессиональному участнику вознаграждений и возмещению расходов по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279 447,24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 о возмездном оказании услуг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Дебиторская задолженность по плате, взимаемой регистратором с зарегистрированных лиц за проведение операций по</w:t>
            </w:r>
          </w:p>
        </w:tc>
        <w:tc>
          <w:tcPr>
            <w:tcW w:w="1843" w:type="dxa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лицевым счетам и за предоставление информации из реестра владельцев ценных бумаг (для профессиональных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являющихся регистраторами)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Маржинальные займы, предоставленные клиентам профессионального участника, имеющего лицензию на</w:t>
            </w:r>
          </w:p>
        </w:tc>
        <w:tc>
          <w:tcPr>
            <w:tcW w:w="1843" w:type="dxa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брокерской деятельности, отнесенным в соответствии с договором о брокерском обслуживании к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 клиентов с особым уровнем риска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Маржинальные займы, предоставленные клиентам профессионального участника, имеющего лицензию на</w:t>
            </w:r>
          </w:p>
        </w:tc>
        <w:tc>
          <w:tcPr>
            <w:tcW w:w="1843" w:type="dxa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брокерской деятельности, отнесенным в соответствии с договором о брокерском обслуживании к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категории клиентов со стандартным уровнем риска или категории клиентов с повышенным уровнем риска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356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Акции российских эмитентов, являющихся публичными акционерными обществами, и акции иностранных эмитентов, а</w:t>
            </w:r>
          </w:p>
        </w:tc>
        <w:tc>
          <w:tcPr>
            <w:tcW w:w="1843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71 706 650,40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депозитарные расписки на них</w:t>
            </w:r>
          </w:p>
        </w:tc>
        <w:tc>
          <w:tcPr>
            <w:tcW w:w="1843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7"/>
        </w:trPr>
        <w:tc>
          <w:tcPr>
            <w:tcW w:w="9356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Облигации российских и иностранных эмитентов, за исключением субординированных и структурных облигаций</w:t>
            </w:r>
          </w:p>
        </w:tc>
        <w:tc>
          <w:tcPr>
            <w:tcW w:w="1843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33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</w:tbl>
    <w:p w:rsidR="00D855B7" w:rsidRDefault="00D855B7" w:rsidP="00D855B7">
      <w:pPr>
        <w:sectPr w:rsidR="00D855B7" w:rsidSect="00D855B7">
          <w:pgSz w:w="11906" w:h="16840"/>
          <w:pgMar w:top="1440" w:right="688" w:bottom="980" w:left="564" w:header="0" w:footer="0" w:gutter="0"/>
          <w:cols w:space="720" w:equalWidth="0">
            <w:col w:w="14418"/>
          </w:cols>
          <w:docGrid w:linePitch="299"/>
        </w:sectPr>
      </w:pPr>
    </w:p>
    <w:tbl>
      <w:tblPr>
        <w:tblW w:w="13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  <w:gridCol w:w="1560"/>
        <w:gridCol w:w="1991"/>
      </w:tblGrid>
      <w:tr w:rsidR="00D855B7" w:rsidTr="00D855B7">
        <w:trPr>
          <w:trHeight w:val="235"/>
        </w:trPr>
        <w:tc>
          <w:tcPr>
            <w:tcW w:w="9619" w:type="dxa"/>
            <w:tcBorders>
              <w:top w:val="single" w:sz="8" w:space="0" w:color="333333"/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Инвестиционные паи паевых инвестиционных фондов, а также ценные бумаги иностранных эмитентов, которые в</w:t>
            </w:r>
          </w:p>
        </w:tc>
        <w:tc>
          <w:tcPr>
            <w:tcW w:w="1560" w:type="dxa"/>
            <w:tcBorders>
              <w:top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их личным законом относятся к схемам коллективного инвестирования или схемам совместного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инвестирования как с образованием, так и без образования юридического лица</w:t>
            </w:r>
          </w:p>
        </w:tc>
        <w:tc>
          <w:tcPr>
            <w:tcW w:w="1560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6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Ипотечные сертификаты участия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финансовые активы, предусмотренные подпунктом 2.1.15 подпункта 2.1 Указания Банка России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255 837 035,84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5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Отложенные налоговые активы профессионального участника в сумме, не превышающей отложенных налоговых</w:t>
            </w:r>
          </w:p>
        </w:tc>
        <w:tc>
          <w:tcPr>
            <w:tcW w:w="1560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профессионального участника</w:t>
            </w:r>
          </w:p>
        </w:tc>
        <w:tc>
          <w:tcPr>
            <w:tcW w:w="1560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Недвижимое имущество профессионального участника, используемое для осуществления профессиональной</w:t>
            </w:r>
          </w:p>
        </w:tc>
        <w:tc>
          <w:tcPr>
            <w:tcW w:w="1560" w:type="dxa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35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на рынке ценных бумаг и (или) для его управленческих нужд, принятое профессиональным участником к</w:t>
            </w:r>
          </w:p>
        </w:tc>
        <w:tc>
          <w:tcPr>
            <w:tcW w:w="1560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бухгалтерскому учету в качестве основных средств</w:t>
            </w:r>
          </w:p>
        </w:tc>
        <w:tc>
          <w:tcPr>
            <w:tcW w:w="1560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6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Итого активов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1 084 624 657,58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ОБЯЗАТЕЛЬСТВА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rPr>
                <w:sz w:val="21"/>
                <w:szCs w:val="21"/>
              </w:rPr>
            </w:pP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Финансовые обязательства, оцениваемые по справедливой стоимости через прибыль или убыток, в том числе: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5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финансовые обязательства, в обязательном порядке классифицируемые как оцениваемые по справедливой стоимости</w:t>
            </w:r>
          </w:p>
        </w:tc>
        <w:tc>
          <w:tcPr>
            <w:tcW w:w="1560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прибыль или убыток</w:t>
            </w:r>
          </w:p>
        </w:tc>
        <w:tc>
          <w:tcPr>
            <w:tcW w:w="1560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7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финансовые обязательства, классифицируемые как оцениваемые по справедливой стоимости через прибыль или убыток</w:t>
            </w:r>
          </w:p>
        </w:tc>
        <w:tc>
          <w:tcPr>
            <w:tcW w:w="1560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усмотрению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некредитной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финансовой организации</w:t>
            </w:r>
          </w:p>
        </w:tc>
        <w:tc>
          <w:tcPr>
            <w:tcW w:w="1560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6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Финансовые обязательства, оцениваемые по амортизированной стоимости, в том числе: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1 016 093 430,23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клиентов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1 014 545 892,79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кредиты, займы и прочие привлеченные средства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выпущенные долговые ценные бумаги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1 547 537,44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 выбывающих групп, классифицированных как предназначенные для продажи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15"/>
        </w:trPr>
        <w:tc>
          <w:tcPr>
            <w:tcW w:w="9619" w:type="dxa"/>
            <w:tcBorders>
              <w:left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Обязательства по вознаграждениям работникам по окончании трудовой деятельности, не ограниченным фиксируемыми</w:t>
            </w:r>
          </w:p>
        </w:tc>
        <w:tc>
          <w:tcPr>
            <w:tcW w:w="1560" w:type="dxa"/>
            <w:vMerge w:val="restart"/>
            <w:tcBorders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62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платежами</w:t>
            </w:r>
          </w:p>
        </w:tc>
        <w:tc>
          <w:tcPr>
            <w:tcW w:w="1560" w:type="dxa"/>
            <w:vMerge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/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7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Обязательство по текущему налогу на прибыль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ложенные налоговые обязательства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Резервы - оценочные обязательства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5 190 828,00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Итого обязательств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1 021 284 258,23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  <w:tr w:rsidR="00D855B7" w:rsidTr="00D855B7">
        <w:trPr>
          <w:trHeight w:val="244"/>
        </w:trPr>
        <w:tc>
          <w:tcPr>
            <w:tcW w:w="961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1560" w:type="dxa"/>
            <w:tcBorders>
              <w:bottom w:val="single" w:sz="8" w:space="0" w:color="333333"/>
              <w:right w:val="single" w:sz="8" w:space="0" w:color="333333"/>
            </w:tcBorders>
            <w:vAlign w:val="bottom"/>
          </w:tcPr>
          <w:p w:rsidR="00D855B7" w:rsidRDefault="00D855B7" w:rsidP="00CD620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63 340 399,35</w:t>
            </w:r>
          </w:p>
        </w:tc>
        <w:tc>
          <w:tcPr>
            <w:tcW w:w="1991" w:type="dxa"/>
            <w:vAlign w:val="bottom"/>
          </w:tcPr>
          <w:p w:rsidR="00D855B7" w:rsidRDefault="00D855B7" w:rsidP="00CD620E">
            <w:pPr>
              <w:rPr>
                <w:sz w:val="1"/>
                <w:szCs w:val="1"/>
              </w:rPr>
            </w:pPr>
          </w:p>
        </w:tc>
      </w:tr>
    </w:tbl>
    <w:p w:rsidR="00D855B7" w:rsidRDefault="00D855B7" w:rsidP="00D855B7">
      <w:pPr>
        <w:sectPr w:rsidR="00D855B7" w:rsidSect="00D855B7">
          <w:pgSz w:w="11906" w:h="16840"/>
          <w:pgMar w:top="1440" w:right="1440" w:bottom="980" w:left="546" w:header="0" w:footer="0" w:gutter="0"/>
          <w:cols w:space="720" w:equalWidth="0">
            <w:col w:w="14418"/>
          </w:cols>
          <w:docGrid w:linePitch="299"/>
        </w:sectPr>
      </w:pPr>
    </w:p>
    <w:p w:rsidR="00B01716" w:rsidRDefault="00B01716" w:rsidP="00D855B7"/>
    <w:sectPr w:rsidR="00B0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B7"/>
    <w:rsid w:val="00B01716"/>
    <w:rsid w:val="00D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484A"/>
  <w15:chartTrackingRefBased/>
  <w15:docId w15:val="{9CB57DDC-E250-4A8A-A8D6-08D95C7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B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2020-07-21T07:59:00Z</dcterms:created>
  <dcterms:modified xsi:type="dcterms:W3CDTF">2020-07-21T08:09:00Z</dcterms:modified>
</cp:coreProperties>
</file>